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1A" w:rsidRPr="004F0266" w:rsidRDefault="008D3F1A" w:rsidP="008D3F1A">
      <w:pPr>
        <w:rPr>
          <w:rFonts w:ascii="黑体" w:eastAsia="黑体" w:hAnsi="黑体"/>
          <w:color w:val="000000"/>
          <w:sz w:val="24"/>
          <w:szCs w:val="28"/>
        </w:rPr>
      </w:pPr>
      <w:r w:rsidRPr="004F0266">
        <w:rPr>
          <w:rFonts w:ascii="黑体" w:eastAsia="黑体" w:hAnsi="黑体" w:hint="eastAsia"/>
          <w:color w:val="000000"/>
          <w:sz w:val="24"/>
          <w:szCs w:val="28"/>
        </w:rPr>
        <w:t>附件3：</w:t>
      </w:r>
    </w:p>
    <w:p w:rsidR="008D3F1A" w:rsidRPr="00900461" w:rsidRDefault="008D3F1A" w:rsidP="008D3F1A">
      <w:pPr>
        <w:jc w:val="center"/>
        <w:rPr>
          <w:rFonts w:ascii="黑体" w:eastAsia="黑体"/>
          <w:sz w:val="32"/>
          <w:szCs w:val="32"/>
        </w:rPr>
      </w:pPr>
      <w:r w:rsidRPr="00900461">
        <w:rPr>
          <w:rFonts w:ascii="黑体" w:eastAsia="黑体" w:hint="eastAsia"/>
          <w:sz w:val="32"/>
          <w:szCs w:val="32"/>
        </w:rPr>
        <w:t>中国企业管理实践研究对策</w:t>
      </w:r>
    </w:p>
    <w:p w:rsidR="008D3F1A" w:rsidRPr="007B4ECF" w:rsidRDefault="008D3F1A" w:rsidP="008D3F1A">
      <w:pPr>
        <w:jc w:val="center"/>
        <w:rPr>
          <w:rFonts w:ascii="黑体" w:eastAsia="黑体"/>
          <w:szCs w:val="21"/>
        </w:rPr>
      </w:pPr>
      <w:r w:rsidRPr="007B4ECF">
        <w:rPr>
          <w:rFonts w:ascii="黑体" w:eastAsia="黑体" w:hint="eastAsia"/>
          <w:szCs w:val="21"/>
          <w:highlight w:val="green"/>
        </w:rPr>
        <w:t>（注：正文标题不超过20字</w:t>
      </w:r>
      <w:r>
        <w:rPr>
          <w:rFonts w:ascii="黑体" w:eastAsia="黑体" w:hint="eastAsia"/>
          <w:szCs w:val="21"/>
          <w:highlight w:val="green"/>
        </w:rPr>
        <w:t>，3#黑居中</w:t>
      </w:r>
      <w:r w:rsidRPr="007B4ECF">
        <w:rPr>
          <w:rFonts w:ascii="黑体" w:eastAsia="黑体" w:hint="eastAsia"/>
          <w:szCs w:val="21"/>
          <w:highlight w:val="green"/>
        </w:rPr>
        <w:t>）</w:t>
      </w:r>
    </w:p>
    <w:p w:rsidR="008D3F1A" w:rsidRPr="00D748AA" w:rsidRDefault="008D3F1A" w:rsidP="008D3F1A">
      <w:pPr>
        <w:jc w:val="center"/>
        <w:rPr>
          <w:rFonts w:ascii="黑体" w:eastAsia="黑体"/>
          <w:b/>
          <w:sz w:val="32"/>
          <w:szCs w:val="32"/>
        </w:rPr>
      </w:pPr>
      <w:r w:rsidRPr="00D748AA">
        <w:rPr>
          <w:rFonts w:ascii="黑体" w:eastAsia="黑体" w:hint="eastAsia"/>
          <w:b/>
          <w:sz w:val="32"/>
          <w:szCs w:val="32"/>
        </w:rPr>
        <w:t>——</w:t>
      </w:r>
      <w:r w:rsidRPr="00FD38B5">
        <w:rPr>
          <w:rFonts w:ascii="黑体" w:eastAsia="黑体" w:hint="eastAsia"/>
          <w:sz w:val="28"/>
          <w:szCs w:val="28"/>
        </w:rPr>
        <w:t>回归原始经验的必要性</w:t>
      </w:r>
      <w:r w:rsidRPr="007B4ECF">
        <w:rPr>
          <w:rFonts w:ascii="黑体" w:eastAsia="黑体" w:hint="eastAsia"/>
          <w:b/>
          <w:szCs w:val="21"/>
          <w:highlight w:val="green"/>
        </w:rPr>
        <w:t>（副标题</w:t>
      </w:r>
      <w:r>
        <w:rPr>
          <w:rFonts w:ascii="黑体" w:eastAsia="黑体" w:hint="eastAsia"/>
          <w:b/>
          <w:szCs w:val="21"/>
          <w:highlight w:val="green"/>
        </w:rPr>
        <w:t>4</w:t>
      </w:r>
      <w:r w:rsidRPr="007B4ECF">
        <w:rPr>
          <w:rFonts w:ascii="黑体" w:eastAsia="黑体" w:hint="eastAsia"/>
          <w:b/>
          <w:szCs w:val="21"/>
          <w:highlight w:val="green"/>
        </w:rPr>
        <w:t>#黑）</w:t>
      </w:r>
    </w:p>
    <w:p w:rsidR="008D3F1A" w:rsidRPr="007B4ECF" w:rsidRDefault="008D3F1A" w:rsidP="008D3F1A">
      <w:pPr>
        <w:jc w:val="center"/>
        <w:rPr>
          <w:szCs w:val="21"/>
        </w:rPr>
      </w:pPr>
      <w:r>
        <w:rPr>
          <w:rFonts w:ascii="宋体" w:hAnsi="宋体" w:hint="eastAsia"/>
          <w:sz w:val="28"/>
          <w:szCs w:val="28"/>
        </w:rPr>
        <w:t>×××</w:t>
      </w:r>
      <w:r w:rsidRPr="007B4ECF">
        <w:rPr>
          <w:rFonts w:ascii="宋体" w:hAnsi="宋体" w:hint="eastAsia"/>
          <w:szCs w:val="21"/>
          <w:highlight w:val="green"/>
        </w:rPr>
        <w:t>（作者名</w:t>
      </w:r>
      <w:r>
        <w:rPr>
          <w:rFonts w:ascii="宋体" w:hAnsi="宋体" w:hint="eastAsia"/>
          <w:szCs w:val="21"/>
          <w:highlight w:val="green"/>
        </w:rPr>
        <w:t>小</w:t>
      </w:r>
      <w:r w:rsidRPr="007B4ECF">
        <w:rPr>
          <w:rFonts w:ascii="宋体" w:hAnsi="宋体" w:hint="eastAsia"/>
          <w:szCs w:val="21"/>
          <w:highlight w:val="green"/>
        </w:rPr>
        <w:t>4#宋）</w:t>
      </w:r>
    </w:p>
    <w:p w:rsidR="008D3F1A" w:rsidRPr="00D748AA" w:rsidRDefault="008D3F1A" w:rsidP="008D3F1A">
      <w:pPr>
        <w:jc w:val="center"/>
        <w:rPr>
          <w:rFonts w:ascii="宋体" w:hAnsi="宋体"/>
          <w:sz w:val="18"/>
          <w:szCs w:val="18"/>
        </w:rPr>
      </w:pPr>
      <w:r w:rsidRPr="00900461">
        <w:rPr>
          <w:rFonts w:ascii="宋体" w:hAnsi="宋体" w:hint="eastAsia"/>
          <w:szCs w:val="21"/>
        </w:rPr>
        <w:t>（北京理工大学  人文社会科学学院，北京100081）</w:t>
      </w:r>
      <w:r>
        <w:rPr>
          <w:rFonts w:ascii="宋体" w:hAnsi="宋体" w:hint="eastAsia"/>
          <w:szCs w:val="21"/>
          <w:highlight w:val="green"/>
        </w:rPr>
        <w:t>（</w:t>
      </w:r>
      <w:r w:rsidRPr="007B4ECF">
        <w:rPr>
          <w:rFonts w:ascii="宋体" w:hAnsi="宋体" w:hint="eastAsia"/>
          <w:szCs w:val="21"/>
          <w:highlight w:val="green"/>
        </w:rPr>
        <w:t>5#宋</w:t>
      </w:r>
      <w:r>
        <w:rPr>
          <w:rFonts w:ascii="宋体" w:hAnsi="宋体" w:hint="eastAsia"/>
          <w:szCs w:val="21"/>
          <w:highlight w:val="green"/>
        </w:rPr>
        <w:t>居中</w:t>
      </w:r>
      <w:r w:rsidRPr="007B4ECF">
        <w:rPr>
          <w:rFonts w:ascii="宋体" w:hAnsi="宋体" w:hint="eastAsia"/>
          <w:szCs w:val="21"/>
          <w:highlight w:val="green"/>
        </w:rPr>
        <w:t>）</w:t>
      </w:r>
    </w:p>
    <w:p w:rsidR="008D3F1A" w:rsidRPr="0061074D" w:rsidRDefault="008D3F1A" w:rsidP="008D3F1A">
      <w:pPr>
        <w:rPr>
          <w:rFonts w:ascii="宋体" w:hAnsi="宋体"/>
          <w:sz w:val="18"/>
          <w:szCs w:val="18"/>
        </w:rPr>
      </w:pPr>
      <w:r w:rsidRPr="00900461">
        <w:rPr>
          <w:rFonts w:ascii="黑体" w:eastAsia="黑体" w:hAnsi="宋体" w:hint="eastAsia"/>
          <w:szCs w:val="21"/>
        </w:rPr>
        <w:t>摘  要：</w:t>
      </w:r>
      <w:r w:rsidRPr="00900461">
        <w:rPr>
          <w:rFonts w:ascii="宋体" w:hAnsi="宋体" w:hint="eastAsia"/>
          <w:szCs w:val="21"/>
        </w:rPr>
        <w:t>整合市场风险与流动性风险有利于投资者全面管理风险，度量交易时所面临的风险。针对市场风险与流动性风险的时变性、异方差性和尾部特点，利用GARCH-EVT方法进行建模。在此基础上利用三类二元阿基米德Copula函数对两类风险的相关结构进行考察。结果表明：中国股票市场中个股的市场风险与流动性风险在上尾</w:t>
      </w:r>
      <w:proofErr w:type="gramStart"/>
      <w:r w:rsidRPr="00900461">
        <w:rPr>
          <w:rFonts w:ascii="宋体" w:hAnsi="宋体" w:hint="eastAsia"/>
          <w:szCs w:val="21"/>
        </w:rPr>
        <w:t>与下尾相关性</w:t>
      </w:r>
      <w:proofErr w:type="gramEnd"/>
      <w:r w:rsidRPr="00900461">
        <w:rPr>
          <w:rFonts w:ascii="宋体" w:hAnsi="宋体" w:hint="eastAsia"/>
          <w:szCs w:val="21"/>
        </w:rPr>
        <w:t>加强，并具有对称性。基于上述相关结构特点对两类风险进行整合并利用</w:t>
      </w:r>
      <w:proofErr w:type="spellStart"/>
      <w:r w:rsidRPr="00900461">
        <w:rPr>
          <w:rFonts w:ascii="宋体" w:hAnsi="宋体" w:hint="eastAsia"/>
          <w:szCs w:val="21"/>
        </w:rPr>
        <w:t>VaR</w:t>
      </w:r>
      <w:proofErr w:type="spellEnd"/>
      <w:r w:rsidRPr="00900461">
        <w:rPr>
          <w:rFonts w:ascii="宋体" w:hAnsi="宋体" w:hint="eastAsia"/>
          <w:szCs w:val="21"/>
        </w:rPr>
        <w:t>模型进行度量，结果显示：该度量模型优于传统</w:t>
      </w:r>
      <w:proofErr w:type="spellStart"/>
      <w:r w:rsidRPr="00900461">
        <w:rPr>
          <w:rFonts w:ascii="宋体" w:hAnsi="宋体" w:hint="eastAsia"/>
          <w:szCs w:val="21"/>
        </w:rPr>
        <w:t>VaR</w:t>
      </w:r>
      <w:proofErr w:type="spellEnd"/>
      <w:r w:rsidRPr="00900461">
        <w:rPr>
          <w:rFonts w:ascii="宋体" w:hAnsi="宋体" w:hint="eastAsia"/>
          <w:szCs w:val="21"/>
        </w:rPr>
        <w:t>模型和不考虑两类风险相关结构的</w:t>
      </w:r>
      <w:proofErr w:type="spellStart"/>
      <w:r w:rsidRPr="00900461">
        <w:rPr>
          <w:rFonts w:ascii="宋体" w:hAnsi="宋体" w:hint="eastAsia"/>
          <w:szCs w:val="21"/>
        </w:rPr>
        <w:t>VaR</w:t>
      </w:r>
      <w:proofErr w:type="spellEnd"/>
      <w:r w:rsidRPr="00900461">
        <w:rPr>
          <w:rFonts w:ascii="宋体" w:hAnsi="宋体" w:hint="eastAsia"/>
          <w:szCs w:val="21"/>
        </w:rPr>
        <w:t>模型</w:t>
      </w:r>
      <w:r w:rsidRPr="0061074D">
        <w:rPr>
          <w:rFonts w:ascii="宋体" w:hAnsi="宋体" w:hint="eastAsia"/>
          <w:sz w:val="18"/>
          <w:szCs w:val="18"/>
        </w:rPr>
        <w:t>。</w:t>
      </w:r>
      <w:r w:rsidRPr="00A813D6">
        <w:rPr>
          <w:rFonts w:ascii="宋体" w:hAnsi="宋体" w:hint="eastAsia"/>
          <w:sz w:val="18"/>
          <w:szCs w:val="18"/>
          <w:highlight w:val="green"/>
        </w:rPr>
        <w:t>(摘要为叙述性摘要，简写目的、方法，详写结论、结果</w:t>
      </w:r>
      <w:r>
        <w:rPr>
          <w:rFonts w:ascii="宋体" w:hAnsi="宋体" w:hint="eastAsia"/>
          <w:sz w:val="18"/>
          <w:szCs w:val="18"/>
          <w:highlight w:val="green"/>
        </w:rPr>
        <w:t>！5#宋</w:t>
      </w:r>
      <w:r w:rsidRPr="00A813D6">
        <w:rPr>
          <w:rFonts w:ascii="宋体" w:hAnsi="宋体" w:hint="eastAsia"/>
          <w:sz w:val="18"/>
          <w:szCs w:val="18"/>
          <w:highlight w:val="green"/>
        </w:rPr>
        <w:t>)</w:t>
      </w:r>
    </w:p>
    <w:p w:rsidR="008D3F1A" w:rsidRDefault="008D3F1A" w:rsidP="008D3F1A">
      <w:pPr>
        <w:rPr>
          <w:rFonts w:ascii="宋体" w:hAnsi="宋体"/>
          <w:sz w:val="18"/>
          <w:szCs w:val="18"/>
        </w:rPr>
      </w:pPr>
      <w:r w:rsidRPr="00900461">
        <w:rPr>
          <w:rFonts w:ascii="黑体" w:eastAsia="黑体" w:hAnsi="宋体" w:hint="eastAsia"/>
          <w:szCs w:val="21"/>
        </w:rPr>
        <w:t>关键词：</w:t>
      </w:r>
      <w:r w:rsidRPr="00900461">
        <w:rPr>
          <w:rFonts w:ascii="宋体" w:hAnsi="宋体" w:hint="eastAsia"/>
          <w:szCs w:val="21"/>
        </w:rPr>
        <w:t>市场风险；流动性风险；相关结构；Copula函数（</w:t>
      </w:r>
      <w:r>
        <w:rPr>
          <w:rFonts w:ascii="宋体" w:hAnsi="宋体" w:hint="eastAsia"/>
          <w:sz w:val="18"/>
          <w:szCs w:val="18"/>
          <w:highlight w:val="green"/>
        </w:rPr>
        <w:t>5#宋</w:t>
      </w:r>
      <w:r w:rsidRPr="00A813D6">
        <w:rPr>
          <w:rFonts w:ascii="宋体" w:hAnsi="宋体" w:hint="eastAsia"/>
          <w:sz w:val="18"/>
          <w:szCs w:val="18"/>
          <w:highlight w:val="green"/>
        </w:rPr>
        <w:t>)</w:t>
      </w:r>
    </w:p>
    <w:p w:rsidR="008D3F1A" w:rsidRPr="00E24D92" w:rsidRDefault="008D3F1A" w:rsidP="008D3F1A">
      <w:pPr>
        <w:ind w:left="630" w:hangingChars="300" w:hanging="630"/>
        <w:rPr>
          <w:lang w:val="fr-FR"/>
        </w:rPr>
      </w:pPr>
    </w:p>
    <w:p w:rsidR="008D3F1A" w:rsidRPr="00113281" w:rsidRDefault="008D3F1A" w:rsidP="008D3F1A">
      <w:pPr>
        <w:jc w:val="left"/>
        <w:rPr>
          <w:rFonts w:ascii="黑体" w:eastAsia="黑体"/>
          <w:sz w:val="28"/>
          <w:szCs w:val="28"/>
        </w:rPr>
      </w:pPr>
      <w:r w:rsidRPr="00A22AA5">
        <w:rPr>
          <w:rFonts w:ascii="黑体" w:eastAsia="黑体" w:hAnsi="宋体" w:hint="eastAsia"/>
          <w:color w:val="000000"/>
          <w:sz w:val="28"/>
          <w:szCs w:val="28"/>
        </w:rPr>
        <w:t>一、问题的提出</w:t>
      </w:r>
      <w:r w:rsidRPr="00A22AA5">
        <w:rPr>
          <w:rFonts w:ascii="黑体" w:eastAsia="黑体" w:hint="eastAsia"/>
          <w:szCs w:val="21"/>
          <w:highlight w:val="green"/>
        </w:rPr>
        <w:t>（4#</w:t>
      </w:r>
      <w:proofErr w:type="gramStart"/>
      <w:r w:rsidRPr="00A22AA5">
        <w:rPr>
          <w:rFonts w:ascii="黑体" w:eastAsia="黑体" w:hint="eastAsia"/>
          <w:szCs w:val="21"/>
          <w:highlight w:val="green"/>
        </w:rPr>
        <w:t>黑</w:t>
      </w:r>
      <w:r>
        <w:rPr>
          <w:rFonts w:ascii="黑体" w:eastAsia="黑体" w:hint="eastAsia"/>
          <w:szCs w:val="21"/>
          <w:highlight w:val="green"/>
        </w:rPr>
        <w:t>体居</w:t>
      </w:r>
      <w:proofErr w:type="gramEnd"/>
      <w:r>
        <w:rPr>
          <w:rFonts w:ascii="黑体" w:eastAsia="黑体" w:hint="eastAsia"/>
          <w:szCs w:val="21"/>
          <w:highlight w:val="green"/>
        </w:rPr>
        <w:t>左</w:t>
      </w:r>
      <w:r w:rsidRPr="00A22AA5">
        <w:rPr>
          <w:rFonts w:ascii="黑体" w:eastAsia="黑体" w:hint="eastAsia"/>
          <w:szCs w:val="21"/>
          <w:highlight w:val="green"/>
        </w:rPr>
        <w:t>）</w:t>
      </w:r>
    </w:p>
    <w:p w:rsidR="008D3F1A" w:rsidRDefault="008D3F1A" w:rsidP="008D3F1A">
      <w:pPr>
        <w:ind w:firstLineChars="200" w:firstLine="420"/>
        <w:rPr>
          <w:rFonts w:ascii="宋体" w:hAnsi="宋体"/>
          <w:szCs w:val="21"/>
        </w:rPr>
      </w:pPr>
      <w:r w:rsidRPr="00A22AA5">
        <w:rPr>
          <w:rFonts w:hint="eastAsia"/>
          <w:highlight w:val="green"/>
        </w:rPr>
        <w:t>（正文</w:t>
      </w:r>
      <w:r w:rsidRPr="00A22AA5">
        <w:rPr>
          <w:rFonts w:hint="eastAsia"/>
          <w:highlight w:val="green"/>
        </w:rPr>
        <w:t>5#</w:t>
      </w:r>
      <w:r w:rsidRPr="00A22AA5">
        <w:rPr>
          <w:rFonts w:hint="eastAsia"/>
          <w:highlight w:val="green"/>
        </w:rPr>
        <w:t>宋</w:t>
      </w:r>
      <w:r>
        <w:rPr>
          <w:rFonts w:hint="eastAsia"/>
          <w:highlight w:val="green"/>
        </w:rPr>
        <w:t>,1.5</w:t>
      </w:r>
      <w:r>
        <w:rPr>
          <w:rFonts w:hint="eastAsia"/>
          <w:highlight w:val="green"/>
        </w:rPr>
        <w:t>倍行距</w:t>
      </w:r>
      <w:r w:rsidRPr="00A22AA5">
        <w:rPr>
          <w:rFonts w:hint="eastAsia"/>
          <w:highlight w:val="green"/>
        </w:rPr>
        <w:t>）</w:t>
      </w:r>
      <w:r>
        <w:rPr>
          <w:rFonts w:hint="eastAsia"/>
          <w:szCs w:val="21"/>
        </w:rPr>
        <w:t>通常认为是康熙十五年（</w:t>
      </w:r>
      <w:r>
        <w:rPr>
          <w:rFonts w:hint="eastAsia"/>
          <w:szCs w:val="21"/>
        </w:rPr>
        <w:t>1676</w:t>
      </w:r>
      <w:r>
        <w:rPr>
          <w:rFonts w:hint="eastAsia"/>
          <w:szCs w:val="21"/>
        </w:rPr>
        <w:t>），</w:t>
      </w:r>
      <w:r>
        <w:rPr>
          <w:rFonts w:ascii="宋体" w:hAnsi="宋体" w:hint="eastAsia"/>
          <w:szCs w:val="21"/>
        </w:rPr>
        <w:t>……</w:t>
      </w:r>
      <w:r>
        <w:rPr>
          <w:rFonts w:hint="eastAsia"/>
          <w:szCs w:val="21"/>
        </w:rPr>
        <w:t>吴光认为“《明儒学案》的成书时间，既非康熙十五年，也非康熙二十四年，而是康熙十七年至十八年”</w:t>
      </w:r>
      <w:r>
        <w:rPr>
          <w:rFonts w:ascii="宋体" w:hAnsi="宋体" w:hint="eastAsia"/>
          <w:szCs w:val="21"/>
          <w:vertAlign w:val="superscript"/>
        </w:rPr>
        <w:t xml:space="preserve"> </w:t>
      </w:r>
      <w:r w:rsidRPr="008930FC">
        <w:rPr>
          <w:rFonts w:ascii="宋体" w:hAnsi="宋体" w:hint="eastAsia"/>
          <w:szCs w:val="21"/>
          <w:highlight w:val="red"/>
          <w:vertAlign w:val="superscript"/>
        </w:rPr>
        <w:t>[1]1005</w:t>
      </w:r>
      <w:r w:rsidRPr="008930FC">
        <w:rPr>
          <w:rFonts w:ascii="宋体" w:hAnsi="宋体" w:hint="eastAsia"/>
          <w:szCs w:val="21"/>
          <w:highlight w:val="green"/>
        </w:rPr>
        <w:t>（</w:t>
      </w:r>
      <w:r>
        <w:rPr>
          <w:rFonts w:ascii="宋体" w:hAnsi="宋体" w:hint="eastAsia"/>
          <w:szCs w:val="21"/>
          <w:highlight w:val="green"/>
        </w:rPr>
        <w:t>同一参考文献在文中出现两次及以上者，需在参考文献标识后加上页码</w:t>
      </w:r>
      <w:r w:rsidRPr="008930FC">
        <w:rPr>
          <w:rFonts w:ascii="宋体" w:hAnsi="宋体" w:hint="eastAsia"/>
          <w:szCs w:val="21"/>
          <w:highlight w:val="green"/>
        </w:rPr>
        <w:t>）</w:t>
      </w:r>
      <w:r>
        <w:rPr>
          <w:rFonts w:hint="eastAsia"/>
          <w:szCs w:val="21"/>
        </w:rPr>
        <w:t>。目前由于材料尚不充分</w:t>
      </w:r>
      <w:r w:rsidRPr="00BD764F">
        <w:rPr>
          <w:rStyle w:val="a4"/>
          <w:szCs w:val="21"/>
          <w:highlight w:val="red"/>
        </w:rPr>
        <w:footnoteReference w:id="1"/>
      </w:r>
      <w:r>
        <w:rPr>
          <w:rFonts w:hint="eastAsia"/>
          <w:szCs w:val="21"/>
        </w:rPr>
        <w:t>，最后的结论还不能确定</w:t>
      </w:r>
      <w:r w:rsidRPr="008930FC">
        <w:rPr>
          <w:rFonts w:ascii="宋体" w:hAnsi="宋体" w:hint="eastAsia"/>
          <w:szCs w:val="21"/>
          <w:highlight w:val="red"/>
          <w:vertAlign w:val="superscript"/>
        </w:rPr>
        <w:t>[</w:t>
      </w:r>
      <w:r>
        <w:rPr>
          <w:rFonts w:ascii="宋体" w:hAnsi="宋体" w:hint="eastAsia"/>
          <w:szCs w:val="21"/>
          <w:highlight w:val="red"/>
          <w:vertAlign w:val="superscript"/>
        </w:rPr>
        <w:t>3</w:t>
      </w:r>
      <w:r w:rsidRPr="008930FC">
        <w:rPr>
          <w:rFonts w:ascii="宋体" w:hAnsi="宋体" w:hint="eastAsia"/>
          <w:szCs w:val="21"/>
          <w:highlight w:val="red"/>
          <w:vertAlign w:val="superscript"/>
        </w:rPr>
        <w:t>]</w:t>
      </w:r>
      <w:r>
        <w:rPr>
          <w:rFonts w:hint="eastAsia"/>
          <w:szCs w:val="21"/>
        </w:rPr>
        <w:t>。日本学者山井</w:t>
      </w:r>
      <w:proofErr w:type="gramStart"/>
      <w:r>
        <w:rPr>
          <w:rFonts w:hint="eastAsia"/>
          <w:szCs w:val="21"/>
        </w:rPr>
        <w:t>湧</w:t>
      </w:r>
      <w:proofErr w:type="gramEnd"/>
      <w:r>
        <w:rPr>
          <w:rFonts w:hint="eastAsia"/>
          <w:szCs w:val="21"/>
        </w:rPr>
        <w:t>认为“郑本所依据的确是黄宗羲的原本，就此而言</w:t>
      </w:r>
      <w:r w:rsidRPr="008930FC">
        <w:rPr>
          <w:rFonts w:ascii="宋体" w:hAnsi="宋体" w:hint="eastAsia"/>
          <w:szCs w:val="21"/>
          <w:highlight w:val="red"/>
          <w:vertAlign w:val="superscript"/>
        </w:rPr>
        <w:t>[</w:t>
      </w:r>
      <w:r>
        <w:rPr>
          <w:rFonts w:ascii="宋体" w:hAnsi="宋体" w:hint="eastAsia"/>
          <w:szCs w:val="21"/>
          <w:highlight w:val="red"/>
          <w:vertAlign w:val="superscript"/>
        </w:rPr>
        <w:t>3</w:t>
      </w:r>
      <w:r w:rsidRPr="008930FC">
        <w:rPr>
          <w:rFonts w:ascii="宋体" w:hAnsi="宋体" w:hint="eastAsia"/>
          <w:szCs w:val="21"/>
          <w:highlight w:val="red"/>
          <w:vertAlign w:val="superscript"/>
        </w:rPr>
        <w:t>]</w:t>
      </w:r>
      <w:r>
        <w:rPr>
          <w:rFonts w:hint="eastAsia"/>
          <w:szCs w:val="21"/>
        </w:rPr>
        <w:t>，最可信赖的是郑本而不是其他。”但同时也承认，“贾本至少具有‘尊朱’的色彩”</w:t>
      </w:r>
      <w:r>
        <w:rPr>
          <w:rFonts w:ascii="宋体" w:hAnsi="宋体" w:hint="eastAsia"/>
          <w:szCs w:val="21"/>
          <w:vertAlign w:val="superscript"/>
        </w:rPr>
        <w:t xml:space="preserve"> </w:t>
      </w:r>
      <w:r w:rsidRPr="008930FC">
        <w:rPr>
          <w:rFonts w:ascii="宋体" w:hAnsi="宋体" w:hint="eastAsia"/>
          <w:szCs w:val="21"/>
          <w:highlight w:val="red"/>
          <w:vertAlign w:val="superscript"/>
        </w:rPr>
        <w:t>[1]482-488</w:t>
      </w:r>
      <w:r>
        <w:rPr>
          <w:rFonts w:hint="eastAsia"/>
          <w:szCs w:val="21"/>
        </w:rPr>
        <w:t>，并由</w:t>
      </w:r>
      <w:r>
        <w:rPr>
          <w:rFonts w:ascii="宋体" w:hAnsi="宋体" w:hint="eastAsia"/>
          <w:szCs w:val="21"/>
        </w:rPr>
        <w:t>……</w:t>
      </w:r>
    </w:p>
    <w:p w:rsidR="008D3F1A" w:rsidRDefault="008D3F1A" w:rsidP="008D3F1A">
      <w:pPr>
        <w:numPr>
          <w:ilvl w:val="0"/>
          <w:numId w:val="1"/>
        </w:numPr>
        <w:spacing w:line="360" w:lineRule="auto"/>
        <w:rPr>
          <w:rFonts w:ascii="黑体" w:eastAsia="黑体"/>
          <w:szCs w:val="21"/>
        </w:rPr>
      </w:pPr>
      <w:r w:rsidRPr="00900461">
        <w:rPr>
          <w:rFonts w:ascii="黑体" w:eastAsia="黑体" w:hint="eastAsia"/>
          <w:sz w:val="24"/>
          <w:szCs w:val="24"/>
        </w:rPr>
        <w:t>资助项目类型比较</w:t>
      </w:r>
      <w:r w:rsidRPr="00A813D6">
        <w:rPr>
          <w:rFonts w:ascii="黑体" w:eastAsia="黑体" w:hint="eastAsia"/>
          <w:szCs w:val="21"/>
          <w:highlight w:val="green"/>
        </w:rPr>
        <w:t>（</w:t>
      </w:r>
      <w:r>
        <w:rPr>
          <w:rFonts w:ascii="黑体" w:eastAsia="黑体" w:hint="eastAsia"/>
          <w:szCs w:val="21"/>
          <w:highlight w:val="green"/>
        </w:rPr>
        <w:t>小4</w:t>
      </w:r>
      <w:r w:rsidRPr="00A813D6">
        <w:rPr>
          <w:rFonts w:ascii="黑体" w:eastAsia="黑体" w:hint="eastAsia"/>
          <w:szCs w:val="21"/>
          <w:highlight w:val="green"/>
        </w:rPr>
        <w:t>#黑体）</w:t>
      </w:r>
    </w:p>
    <w:p w:rsidR="008D3F1A" w:rsidRDefault="008D3F1A" w:rsidP="008D3F1A">
      <w:pPr>
        <w:ind w:left="420"/>
        <w:rPr>
          <w:szCs w:val="21"/>
        </w:rPr>
      </w:pPr>
      <w:r>
        <w:rPr>
          <w:rFonts w:ascii="黑体" w:eastAsia="黑体" w:hint="eastAsia"/>
          <w:szCs w:val="21"/>
        </w:rPr>
        <w:t xml:space="preserve"> </w:t>
      </w:r>
      <w:r>
        <w:rPr>
          <w:rFonts w:hint="eastAsia"/>
          <w:szCs w:val="21"/>
        </w:rPr>
        <w:t>1</w:t>
      </w:r>
      <w:r w:rsidRPr="00900461">
        <w:rPr>
          <w:rFonts w:ascii="宋体" w:hAnsi="宋体" w:hint="eastAsia"/>
          <w:szCs w:val="21"/>
        </w:rPr>
        <w:t>.合理分配资助项目的地区分布</w:t>
      </w:r>
      <w:r w:rsidRPr="00A813D6">
        <w:rPr>
          <w:rFonts w:hint="eastAsia"/>
          <w:szCs w:val="21"/>
          <w:highlight w:val="green"/>
        </w:rPr>
        <w:t>（</w:t>
      </w:r>
      <w:r w:rsidRPr="00A813D6">
        <w:rPr>
          <w:rFonts w:hint="eastAsia"/>
          <w:szCs w:val="21"/>
          <w:highlight w:val="green"/>
        </w:rPr>
        <w:t>5#</w:t>
      </w:r>
      <w:r w:rsidRPr="00A813D6">
        <w:rPr>
          <w:rFonts w:hint="eastAsia"/>
          <w:szCs w:val="21"/>
          <w:highlight w:val="green"/>
        </w:rPr>
        <w:t>宋体）</w:t>
      </w:r>
    </w:p>
    <w:p w:rsidR="008D3F1A" w:rsidRDefault="008D3F1A" w:rsidP="008D3F1A">
      <w:pPr>
        <w:ind w:left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……。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……。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……。</w:t>
      </w:r>
    </w:p>
    <w:p w:rsidR="008D3F1A" w:rsidRDefault="008D3F1A" w:rsidP="008D3F1A">
      <w:pPr>
        <w:ind w:left="420"/>
      </w:pPr>
      <w:r>
        <w:rPr>
          <w:rFonts w:ascii="宋体" w:cs="宋体" w:hint="eastAsia"/>
          <w:kern w:val="0"/>
          <w:szCs w:val="21"/>
        </w:rPr>
        <w:t>从20世纪</w:t>
      </w:r>
      <w:r w:rsidRPr="00D940C0">
        <w:rPr>
          <w:kern w:val="0"/>
          <w:szCs w:val="21"/>
        </w:rPr>
        <w:t>80</w:t>
      </w:r>
      <w:r>
        <w:rPr>
          <w:rFonts w:hint="eastAsia"/>
          <w:kern w:val="0"/>
          <w:szCs w:val="21"/>
        </w:rPr>
        <w:t>年代</w:t>
      </w:r>
      <w:r w:rsidRPr="007E2057">
        <w:rPr>
          <w:rFonts w:hint="eastAsia"/>
          <w:highlight w:val="green"/>
        </w:rPr>
        <w:t>（</w:t>
      </w:r>
      <w:r w:rsidRPr="007E2057">
        <w:rPr>
          <w:rFonts w:ascii="宋体" w:hAnsi="宋体" w:hint="eastAsia"/>
          <w:highlight w:val="green"/>
        </w:rPr>
        <w:t>××世纪××年代一定要用阿拉伯数字表示</w:t>
      </w:r>
      <w:r w:rsidRPr="007E2057">
        <w:rPr>
          <w:rFonts w:hint="eastAsia"/>
          <w:highlight w:val="green"/>
        </w:rPr>
        <w:t>）</w:t>
      </w:r>
      <w:r>
        <w:rPr>
          <w:rFonts w:ascii="宋体" w:cs="宋体" w:hint="eastAsia"/>
          <w:kern w:val="0"/>
          <w:szCs w:val="21"/>
        </w:rPr>
        <w:t>以来，以法国企业社会学家菲利普·迪里巴尔纳</w:t>
      </w:r>
      <w:r>
        <w:rPr>
          <w:rFonts w:ascii="宋体" w:hAnsi="宋体" w:hint="eastAsia"/>
          <w:szCs w:val="21"/>
        </w:rPr>
        <w:t>……</w:t>
      </w:r>
    </w:p>
    <w:p w:rsidR="008D3F1A" w:rsidRPr="0061074D" w:rsidRDefault="008D3F1A" w:rsidP="008D3F1A">
      <w:pPr>
        <w:pStyle w:val="a6"/>
        <w:spacing w:line="360" w:lineRule="auto"/>
        <w:ind w:firstLine="420"/>
        <w:jc w:val="right"/>
        <w:rPr>
          <w:sz w:val="21"/>
        </w:rPr>
      </w:pPr>
      <w:r w:rsidRPr="0061074D">
        <w:rPr>
          <w:position w:val="-16"/>
          <w:sz w:val="21"/>
        </w:rPr>
        <w:object w:dxaOrig="43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5pt;height:21.3pt" o:ole="">
            <v:imagedata r:id="rId7" o:title=""/>
          </v:shape>
          <o:OLEObject Type="Embed" ProgID="Equation.DSMT4" ShapeID="_x0000_i1025" DrawAspect="Content" ObjectID="_1497779014" r:id="rId8"/>
        </w:object>
      </w:r>
      <w:r w:rsidRPr="0061074D">
        <w:rPr>
          <w:rFonts w:hint="eastAsia"/>
          <w:sz w:val="21"/>
        </w:rPr>
        <w:t xml:space="preserve">                </w:t>
      </w:r>
      <w:r w:rsidRPr="0061074D">
        <w:rPr>
          <w:rFonts w:hint="eastAsia"/>
          <w:sz w:val="21"/>
        </w:rPr>
        <w:t>（</w:t>
      </w:r>
      <w:r w:rsidRPr="0061074D">
        <w:rPr>
          <w:rFonts w:hint="eastAsia"/>
          <w:sz w:val="21"/>
        </w:rPr>
        <w:t>1</w:t>
      </w:r>
      <w:r w:rsidRPr="0061074D">
        <w:rPr>
          <w:rFonts w:hint="eastAsia"/>
          <w:sz w:val="21"/>
        </w:rPr>
        <w:t>）</w:t>
      </w:r>
    </w:p>
    <w:p w:rsidR="008D3F1A" w:rsidRDefault="008D3F1A" w:rsidP="008D3F1A">
      <w:pPr>
        <w:ind w:firstLineChars="200" w:firstLine="420"/>
      </w:pPr>
      <w:r>
        <w:rPr>
          <w:rFonts w:hint="eastAsia"/>
          <w:highlight w:val="green"/>
        </w:rPr>
        <w:t>（</w:t>
      </w:r>
      <w:r w:rsidRPr="007E2057">
        <w:rPr>
          <w:rFonts w:hint="eastAsia"/>
          <w:highlight w:val="green"/>
        </w:rPr>
        <w:t>正确区分文章中字母的正斜体。变量（如</w:t>
      </w:r>
      <w:r w:rsidRPr="007E2057">
        <w:rPr>
          <w:rFonts w:hint="eastAsia"/>
          <w:i/>
          <w:highlight w:val="green"/>
        </w:rPr>
        <w:t>x, y</w:t>
      </w:r>
      <w:r w:rsidRPr="007E2057">
        <w:rPr>
          <w:rFonts w:hint="eastAsia"/>
          <w:highlight w:val="green"/>
        </w:rPr>
        <w:t>等）符号一般用斜体表示；具有特殊定义的函数如“</w:t>
      </w:r>
      <w:r w:rsidRPr="007E2057">
        <w:rPr>
          <w:rFonts w:hint="eastAsia"/>
          <w:highlight w:val="green"/>
        </w:rPr>
        <w:t>sin</w:t>
      </w:r>
      <w:r w:rsidRPr="007E2057">
        <w:rPr>
          <w:rFonts w:hint="eastAsia"/>
          <w:highlight w:val="green"/>
        </w:rPr>
        <w:t>”“</w:t>
      </w:r>
      <w:proofErr w:type="spellStart"/>
      <w:r w:rsidRPr="007E2057">
        <w:rPr>
          <w:rFonts w:hint="eastAsia"/>
          <w:highlight w:val="green"/>
        </w:rPr>
        <w:t>exp</w:t>
      </w:r>
      <w:proofErr w:type="spellEnd"/>
      <w:r w:rsidRPr="007E2057">
        <w:rPr>
          <w:rFonts w:hint="eastAsia"/>
          <w:highlight w:val="green"/>
        </w:rPr>
        <w:t>”“</w:t>
      </w:r>
      <w:r w:rsidRPr="007E2057">
        <w:rPr>
          <w:rFonts w:hint="eastAsia"/>
          <w:highlight w:val="green"/>
        </w:rPr>
        <w:t>ln</w:t>
      </w:r>
      <w:r w:rsidRPr="007E2057">
        <w:rPr>
          <w:rFonts w:hint="eastAsia"/>
          <w:highlight w:val="green"/>
        </w:rPr>
        <w:t>”</w:t>
      </w:r>
      <w:r w:rsidRPr="007E2057">
        <w:rPr>
          <w:rFonts w:hint="eastAsia"/>
          <w:highlight w:val="green"/>
        </w:rPr>
        <w:t>,</w:t>
      </w:r>
      <w:r w:rsidRPr="007E2057">
        <w:rPr>
          <w:rFonts w:hint="eastAsia"/>
          <w:highlight w:val="green"/>
        </w:rPr>
        <w:t>微分符号如“</w:t>
      </w:r>
      <w:r w:rsidRPr="007E2057">
        <w:rPr>
          <w:rFonts w:hint="eastAsia"/>
          <w:highlight w:val="green"/>
        </w:rPr>
        <w:t>d</w:t>
      </w:r>
      <w:r w:rsidRPr="007E2057">
        <w:rPr>
          <w:rFonts w:hint="eastAsia"/>
          <w:highlight w:val="green"/>
        </w:rPr>
        <w:t>”，常数符号如“</w:t>
      </w:r>
      <w:r w:rsidRPr="007E2057">
        <w:rPr>
          <w:rFonts w:hint="eastAsia"/>
          <w:highlight w:val="green"/>
        </w:rPr>
        <w:t>e</w:t>
      </w:r>
      <w:r w:rsidRPr="007E2057">
        <w:rPr>
          <w:rFonts w:hint="eastAsia"/>
          <w:highlight w:val="green"/>
        </w:rPr>
        <w:t>”等使用正体。）</w:t>
      </w:r>
    </w:p>
    <w:p w:rsidR="008D3F1A" w:rsidRDefault="008D3F1A" w:rsidP="008D3F1A"/>
    <w:p w:rsidR="008D3F1A" w:rsidRDefault="008D3F1A" w:rsidP="008D3F1A"/>
    <w:p w:rsidR="008D3F1A" w:rsidRPr="00897BF5" w:rsidRDefault="008D3F1A" w:rsidP="008D3F1A">
      <w:pPr>
        <w:jc w:val="center"/>
        <w:rPr>
          <w:rFonts w:ascii="宋体" w:hAnsi="宋体"/>
          <w:szCs w:val="21"/>
        </w:rPr>
      </w:pPr>
      <w:r w:rsidRPr="00897BF5">
        <w:rPr>
          <w:rFonts w:ascii="宋体" w:hAnsi="宋体" w:hint="eastAsia"/>
          <w:szCs w:val="21"/>
        </w:rPr>
        <w:t>表1  产品绩效</w:t>
      </w:r>
      <w:proofErr w:type="gramStart"/>
      <w:r w:rsidRPr="00897BF5">
        <w:rPr>
          <w:rFonts w:ascii="宋体" w:hAnsi="宋体" w:hint="eastAsia"/>
          <w:szCs w:val="21"/>
        </w:rPr>
        <w:t>模型各构面的</w:t>
      </w:r>
      <w:proofErr w:type="gramEnd"/>
      <w:r w:rsidRPr="00897BF5">
        <w:rPr>
          <w:rFonts w:ascii="宋体" w:hAnsi="宋体" w:hint="eastAsia"/>
          <w:szCs w:val="21"/>
        </w:rPr>
        <w:t>相关系数估计（区别效度检验）</w:t>
      </w:r>
    </w:p>
    <w:p w:rsidR="008D3F1A" w:rsidRDefault="008D3F1A" w:rsidP="008D3F1A">
      <w:pPr>
        <w:jc w:val="center"/>
        <w:rPr>
          <w:rFonts w:ascii="宋体" w:hAnsi="宋体"/>
          <w:sz w:val="18"/>
          <w:szCs w:val="18"/>
        </w:rPr>
      </w:pPr>
      <w:r w:rsidRPr="001B33D9">
        <w:rPr>
          <w:rFonts w:ascii="宋体" w:hAnsi="宋体" w:hint="eastAsia"/>
          <w:sz w:val="18"/>
          <w:szCs w:val="18"/>
          <w:highlight w:val="green"/>
        </w:rPr>
        <w:t>（</w:t>
      </w:r>
      <w:proofErr w:type="gramStart"/>
      <w:r>
        <w:rPr>
          <w:rFonts w:ascii="宋体" w:hAnsi="宋体" w:hint="eastAsia"/>
          <w:sz w:val="18"/>
          <w:szCs w:val="18"/>
          <w:highlight w:val="green"/>
        </w:rPr>
        <w:t>表题在</w:t>
      </w:r>
      <w:proofErr w:type="gramEnd"/>
      <w:r>
        <w:rPr>
          <w:rFonts w:ascii="宋体" w:hAnsi="宋体" w:hint="eastAsia"/>
          <w:sz w:val="18"/>
          <w:szCs w:val="18"/>
          <w:highlight w:val="green"/>
        </w:rPr>
        <w:t>表的上方，</w:t>
      </w:r>
      <w:r w:rsidRPr="001B33D9">
        <w:rPr>
          <w:rFonts w:ascii="宋体" w:hAnsi="宋体" w:hint="eastAsia"/>
          <w:sz w:val="18"/>
          <w:szCs w:val="18"/>
          <w:highlight w:val="green"/>
        </w:rPr>
        <w:t>5#</w:t>
      </w:r>
      <w:r>
        <w:rPr>
          <w:rFonts w:ascii="宋体" w:hAnsi="宋体" w:hint="eastAsia"/>
          <w:sz w:val="18"/>
          <w:szCs w:val="18"/>
          <w:highlight w:val="green"/>
        </w:rPr>
        <w:t>宋</w:t>
      </w:r>
      <w:r w:rsidRPr="001B33D9">
        <w:rPr>
          <w:rFonts w:ascii="宋体" w:hAnsi="宋体" w:hint="eastAsia"/>
          <w:sz w:val="18"/>
          <w:szCs w:val="18"/>
          <w:highlight w:val="green"/>
        </w:rPr>
        <w:t>体）</w:t>
      </w:r>
      <w:r>
        <w:rPr>
          <w:rFonts w:ascii="宋体" w:hAnsi="宋体" w:hint="eastAsia"/>
          <w:sz w:val="18"/>
          <w:szCs w:val="18"/>
        </w:rPr>
        <w:t>；</w:t>
      </w:r>
    </w:p>
    <w:p w:rsidR="008D3F1A" w:rsidRPr="00F210AD" w:rsidRDefault="008D3F1A" w:rsidP="008D3F1A">
      <w:pPr>
        <w:ind w:firstLineChars="200" w:firstLine="360"/>
        <w:rPr>
          <w:sz w:val="18"/>
          <w:szCs w:val="18"/>
        </w:rPr>
      </w:pPr>
      <w:r w:rsidRPr="001B33D9">
        <w:rPr>
          <w:rFonts w:ascii="宋体" w:hAnsi="宋体" w:hint="eastAsia"/>
          <w:sz w:val="18"/>
          <w:szCs w:val="18"/>
          <w:highlight w:val="green"/>
        </w:rPr>
        <w:t>表字</w:t>
      </w:r>
      <w:r>
        <w:rPr>
          <w:rFonts w:ascii="宋体" w:hAnsi="宋体" w:hint="eastAsia"/>
          <w:sz w:val="18"/>
          <w:szCs w:val="18"/>
          <w:highlight w:val="green"/>
        </w:rPr>
        <w:t>为</w:t>
      </w:r>
      <w:r w:rsidRPr="001B33D9">
        <w:rPr>
          <w:rFonts w:ascii="宋体" w:hAnsi="宋体" w:hint="eastAsia"/>
          <w:sz w:val="18"/>
          <w:szCs w:val="18"/>
          <w:highlight w:val="green"/>
        </w:rPr>
        <w:t>小5#宋体</w:t>
      </w:r>
      <w:r w:rsidRPr="002808D1">
        <w:rPr>
          <w:rFonts w:ascii="宋体" w:hAnsi="宋体" w:hint="eastAsia"/>
          <w:sz w:val="18"/>
          <w:szCs w:val="18"/>
          <w:highlight w:val="green"/>
        </w:rPr>
        <w:t>，</w:t>
      </w:r>
      <w:proofErr w:type="gramStart"/>
      <w:r>
        <w:rPr>
          <w:rFonts w:ascii="宋体" w:hAnsi="宋体" w:hint="eastAsia"/>
          <w:sz w:val="18"/>
          <w:szCs w:val="18"/>
          <w:highlight w:val="green"/>
        </w:rPr>
        <w:t>表</w:t>
      </w:r>
      <w:r w:rsidRPr="00897BF5">
        <w:rPr>
          <w:rFonts w:ascii="宋体" w:hAnsi="宋体" w:hint="eastAsia"/>
          <w:sz w:val="18"/>
          <w:szCs w:val="18"/>
          <w:highlight w:val="green"/>
        </w:rPr>
        <w:t>序</w:t>
      </w:r>
      <w:r>
        <w:rPr>
          <w:rFonts w:ascii="宋体" w:hAnsi="宋体" w:hint="eastAsia"/>
          <w:sz w:val="18"/>
          <w:szCs w:val="18"/>
          <w:highlight w:val="green"/>
        </w:rPr>
        <w:t>按</w:t>
      </w:r>
      <w:proofErr w:type="gramEnd"/>
      <w:r>
        <w:rPr>
          <w:rFonts w:ascii="宋体" w:hAnsi="宋体" w:hint="eastAsia"/>
          <w:sz w:val="18"/>
          <w:szCs w:val="18"/>
          <w:highlight w:val="green"/>
        </w:rPr>
        <w:t>本篇论文大排队：表</w:t>
      </w:r>
      <w:r>
        <w:rPr>
          <w:rFonts w:ascii="宋体" w:hAnsi="宋体"/>
          <w:sz w:val="18"/>
          <w:szCs w:val="18"/>
          <w:highlight w:val="green"/>
        </w:rPr>
        <w:t>1</w:t>
      </w:r>
      <w:r>
        <w:rPr>
          <w:rFonts w:ascii="宋体" w:hAnsi="宋体" w:hint="eastAsia"/>
          <w:sz w:val="18"/>
          <w:szCs w:val="18"/>
          <w:highlight w:val="green"/>
        </w:rPr>
        <w:t>，表</w:t>
      </w:r>
      <w:r w:rsidRPr="00897BF5">
        <w:rPr>
          <w:rFonts w:ascii="宋体" w:hAnsi="宋体"/>
          <w:sz w:val="18"/>
          <w:szCs w:val="18"/>
          <w:highlight w:val="green"/>
        </w:rPr>
        <w:t xml:space="preserve"> 2</w:t>
      </w:r>
      <w:r>
        <w:rPr>
          <w:rFonts w:ascii="宋体" w:hAnsi="宋体" w:hint="eastAsia"/>
          <w:sz w:val="18"/>
          <w:szCs w:val="18"/>
          <w:highlight w:val="green"/>
        </w:rPr>
        <w:t>等。</w:t>
      </w:r>
      <w:r w:rsidRPr="00F210AD">
        <w:rPr>
          <w:rFonts w:hint="eastAsia"/>
          <w:sz w:val="18"/>
          <w:szCs w:val="18"/>
          <w:highlight w:val="green"/>
        </w:rPr>
        <w:t>注意同一表格中数值小数点后的有效数位应保持一致。</w:t>
      </w:r>
      <w:r w:rsidRPr="00C83656">
        <w:rPr>
          <w:rFonts w:hint="eastAsia"/>
          <w:sz w:val="18"/>
          <w:szCs w:val="18"/>
          <w:highlight w:val="green"/>
        </w:rPr>
        <w:t>表中的各项尽量用中文表述。</w:t>
      </w:r>
    </w:p>
    <w:p w:rsidR="008D3F1A" w:rsidRPr="002B5F0E" w:rsidRDefault="008D3F1A" w:rsidP="008D3F1A">
      <w:pPr>
        <w:jc w:val="center"/>
        <w:rPr>
          <w:rFonts w:ascii="宋体" w:hAnsi="宋体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868"/>
        <w:gridCol w:w="1868"/>
        <w:gridCol w:w="1868"/>
      </w:tblGrid>
      <w:tr w:rsidR="008D3F1A" w:rsidRPr="005E6F3E" w:rsidTr="001C3462">
        <w:trPr>
          <w:jc w:val="center"/>
        </w:trPr>
        <w:tc>
          <w:tcPr>
            <w:tcW w:w="1867" w:type="dxa"/>
            <w:vMerge w:val="restart"/>
            <w:shd w:val="clear" w:color="auto" w:fill="auto"/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潜在变量</w:t>
            </w:r>
          </w:p>
        </w:tc>
        <w:tc>
          <w:tcPr>
            <w:tcW w:w="5604" w:type="dxa"/>
            <w:gridSpan w:val="3"/>
            <w:shd w:val="clear" w:color="auto" w:fill="auto"/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相关系数</w:t>
            </w:r>
          </w:p>
        </w:tc>
      </w:tr>
      <w:tr w:rsidR="008D3F1A" w:rsidRPr="005E6F3E" w:rsidTr="001C3462">
        <w:trPr>
          <w:jc w:val="center"/>
        </w:trPr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产品研发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产品获利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客户满意度</w:t>
            </w:r>
          </w:p>
        </w:tc>
      </w:tr>
      <w:tr w:rsidR="008D3F1A" w:rsidRPr="005E6F3E" w:rsidTr="001C3462">
        <w:trPr>
          <w:jc w:val="center"/>
        </w:trPr>
        <w:tc>
          <w:tcPr>
            <w:tcW w:w="1867" w:type="dxa"/>
            <w:tcBorders>
              <w:top w:val="single" w:sz="4" w:space="0" w:color="auto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产品研发</w:t>
            </w: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  <w:r w:rsidRPr="005E6F3E">
              <w:rPr>
                <w:sz w:val="18"/>
                <w:szCs w:val="18"/>
              </w:rPr>
              <w:t>1.000</w:t>
            </w: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</w:p>
        </w:tc>
      </w:tr>
      <w:tr w:rsidR="008D3F1A" w:rsidRPr="005E6F3E" w:rsidTr="001C3462">
        <w:trPr>
          <w:jc w:val="center"/>
        </w:trPr>
        <w:tc>
          <w:tcPr>
            <w:tcW w:w="1867" w:type="dxa"/>
            <w:tcBorders>
              <w:top w:val="nil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产品获利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  <w:r w:rsidRPr="005E6F3E">
              <w:rPr>
                <w:rFonts w:hint="eastAsia"/>
                <w:sz w:val="18"/>
                <w:szCs w:val="18"/>
              </w:rPr>
              <w:t>0.390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  <w:r w:rsidRPr="005E6F3E">
              <w:rPr>
                <w:sz w:val="18"/>
                <w:szCs w:val="18"/>
              </w:rPr>
              <w:t>1.000</w:t>
            </w:r>
          </w:p>
        </w:tc>
        <w:tc>
          <w:tcPr>
            <w:tcW w:w="1868" w:type="dxa"/>
            <w:tcBorders>
              <w:top w:val="nil"/>
              <w:bottom w:val="nil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</w:p>
        </w:tc>
      </w:tr>
      <w:tr w:rsidR="008D3F1A" w:rsidRPr="005E6F3E" w:rsidTr="001C3462">
        <w:trPr>
          <w:jc w:val="center"/>
        </w:trPr>
        <w:tc>
          <w:tcPr>
            <w:tcW w:w="1867" w:type="dxa"/>
            <w:tcBorders>
              <w:top w:val="nil"/>
              <w:bottom w:val="single" w:sz="8" w:space="0" w:color="auto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E6F3E">
              <w:rPr>
                <w:rFonts w:ascii="宋体" w:hAnsi="宋体" w:hint="eastAsia"/>
                <w:sz w:val="18"/>
                <w:szCs w:val="18"/>
              </w:rPr>
              <w:t>客户满意度</w:t>
            </w:r>
          </w:p>
        </w:tc>
        <w:tc>
          <w:tcPr>
            <w:tcW w:w="1868" w:type="dxa"/>
            <w:tcBorders>
              <w:top w:val="nil"/>
              <w:bottom w:val="single" w:sz="8" w:space="0" w:color="auto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  <w:r w:rsidRPr="005E6F3E">
              <w:rPr>
                <w:rFonts w:hint="eastAsia"/>
                <w:sz w:val="18"/>
                <w:szCs w:val="18"/>
              </w:rPr>
              <w:t>0.352</w:t>
            </w:r>
          </w:p>
        </w:tc>
        <w:tc>
          <w:tcPr>
            <w:tcW w:w="1868" w:type="dxa"/>
            <w:tcBorders>
              <w:top w:val="nil"/>
              <w:bottom w:val="single" w:sz="8" w:space="0" w:color="auto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  <w:r w:rsidRPr="005E6F3E">
              <w:rPr>
                <w:rFonts w:hint="eastAsia"/>
                <w:sz w:val="18"/>
                <w:szCs w:val="18"/>
              </w:rPr>
              <w:t>0.413</w:t>
            </w:r>
          </w:p>
        </w:tc>
        <w:tc>
          <w:tcPr>
            <w:tcW w:w="1868" w:type="dxa"/>
            <w:tcBorders>
              <w:top w:val="nil"/>
              <w:bottom w:val="single" w:sz="8" w:space="0" w:color="auto"/>
            </w:tcBorders>
            <w:vAlign w:val="center"/>
          </w:tcPr>
          <w:p w:rsidR="008D3F1A" w:rsidRPr="005E6F3E" w:rsidRDefault="008D3F1A" w:rsidP="001C3462">
            <w:pPr>
              <w:jc w:val="center"/>
              <w:rPr>
                <w:sz w:val="18"/>
                <w:szCs w:val="18"/>
              </w:rPr>
            </w:pPr>
            <w:r w:rsidRPr="005E6F3E">
              <w:rPr>
                <w:sz w:val="18"/>
                <w:szCs w:val="18"/>
              </w:rPr>
              <w:t>1.000</w:t>
            </w:r>
          </w:p>
        </w:tc>
      </w:tr>
    </w:tbl>
    <w:p w:rsidR="008D3F1A" w:rsidRDefault="008D3F1A" w:rsidP="008D3F1A">
      <w:pPr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8D3F1A" w:rsidRPr="00573250" w:rsidRDefault="008D3F1A" w:rsidP="008D3F1A">
      <w:pPr>
        <w:ind w:firstLine="420"/>
        <w:rPr>
          <w:rFonts w:cs="宋体"/>
          <w:kern w:val="0"/>
          <w:sz w:val="24"/>
        </w:rPr>
      </w:pPr>
      <w:r w:rsidRPr="00573250">
        <w:rPr>
          <w:rFonts w:hint="eastAsia"/>
        </w:rPr>
        <w:t>，</w:t>
      </w:r>
      <w:r>
        <w:rPr>
          <w:rFonts w:cs="宋体"/>
          <w:noProof/>
          <w:kern w:val="0"/>
          <w:sz w:val="24"/>
        </w:rPr>
        <w:drawing>
          <wp:inline distT="0" distB="0" distL="0" distR="0" wp14:anchorId="7025766B" wp14:editId="683CD337">
            <wp:extent cx="3719195" cy="1433195"/>
            <wp:effectExtent l="19050" t="0" r="0" b="0"/>
            <wp:docPr id="2" name="图片 2" descr="C:\Users\Administrator\AppData\Roaming\Tencent\Users\407253249\QQ\WinTemp\RichOle\YXU`CZ`N@PM~~H9@GP][{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AppData\Roaming\Tencent\Users\407253249\QQ\WinTemp\RichOle\YXU`CZ`N@PM~~H9@GP][{E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1A" w:rsidRPr="00897BF5" w:rsidRDefault="008D3F1A" w:rsidP="008D3F1A">
      <w:pPr>
        <w:jc w:val="center"/>
        <w:rPr>
          <w:rFonts w:ascii="宋体" w:hAnsi="宋体"/>
          <w:szCs w:val="21"/>
        </w:rPr>
      </w:pPr>
      <w:r w:rsidRPr="00897BF5">
        <w:rPr>
          <w:rFonts w:ascii="宋体" w:hAnsi="宋体" w:hint="eastAsia"/>
          <w:szCs w:val="21"/>
        </w:rPr>
        <w:t>图</w:t>
      </w:r>
      <w:r w:rsidRPr="00897BF5">
        <w:rPr>
          <w:rFonts w:ascii="宋体" w:hAnsi="宋体"/>
          <w:szCs w:val="21"/>
        </w:rPr>
        <w:t xml:space="preserve">1 </w:t>
      </w:r>
      <w:r w:rsidRPr="00897BF5">
        <w:rPr>
          <w:rFonts w:ascii="宋体" w:hAnsi="宋体" w:hint="eastAsia"/>
          <w:szCs w:val="21"/>
        </w:rPr>
        <w:t>XXXXXXXXXX</w:t>
      </w:r>
      <w:r>
        <w:rPr>
          <w:rFonts w:ascii="宋体" w:hAnsi="宋体" w:hint="eastAsia"/>
          <w:sz w:val="18"/>
          <w:szCs w:val="18"/>
          <w:highlight w:val="green"/>
        </w:rPr>
        <w:t>（</w:t>
      </w:r>
      <w:proofErr w:type="gramStart"/>
      <w:r w:rsidRPr="00897BF5">
        <w:rPr>
          <w:rFonts w:ascii="宋体" w:hAnsi="宋体" w:hint="eastAsia"/>
          <w:sz w:val="18"/>
          <w:szCs w:val="18"/>
          <w:highlight w:val="green"/>
        </w:rPr>
        <w:t>图题在</w:t>
      </w:r>
      <w:proofErr w:type="gramEnd"/>
      <w:r w:rsidRPr="00897BF5">
        <w:rPr>
          <w:rFonts w:ascii="宋体" w:hAnsi="宋体" w:hint="eastAsia"/>
          <w:sz w:val="18"/>
          <w:szCs w:val="18"/>
          <w:highlight w:val="green"/>
        </w:rPr>
        <w:t>图的下方</w:t>
      </w:r>
      <w:r>
        <w:rPr>
          <w:rFonts w:ascii="宋体" w:hAnsi="宋体" w:hint="eastAsia"/>
          <w:sz w:val="18"/>
          <w:szCs w:val="18"/>
          <w:highlight w:val="green"/>
        </w:rPr>
        <w:t>5#</w:t>
      </w:r>
      <w:r w:rsidRPr="00897BF5">
        <w:rPr>
          <w:rFonts w:ascii="宋体" w:hAnsi="宋体" w:hint="eastAsia"/>
          <w:sz w:val="18"/>
          <w:szCs w:val="18"/>
          <w:highlight w:val="green"/>
        </w:rPr>
        <w:t>宋）</w:t>
      </w:r>
    </w:p>
    <w:p w:rsidR="008D3F1A" w:rsidRPr="00897BF5" w:rsidRDefault="008D3F1A" w:rsidP="008D3F1A">
      <w:pPr>
        <w:ind w:firstLineChars="200" w:firstLine="360"/>
        <w:rPr>
          <w:rFonts w:ascii="宋体" w:hAnsi="宋体"/>
          <w:sz w:val="18"/>
          <w:szCs w:val="18"/>
          <w:highlight w:val="green"/>
        </w:rPr>
      </w:pPr>
      <w:r w:rsidRPr="001B33D9">
        <w:rPr>
          <w:rFonts w:ascii="宋体" w:hAnsi="宋体" w:hint="eastAsia"/>
          <w:sz w:val="18"/>
          <w:szCs w:val="18"/>
          <w:highlight w:val="green"/>
        </w:rPr>
        <w:t>表字</w:t>
      </w:r>
      <w:r>
        <w:rPr>
          <w:rFonts w:ascii="宋体" w:hAnsi="宋体" w:hint="eastAsia"/>
          <w:sz w:val="18"/>
          <w:szCs w:val="18"/>
          <w:highlight w:val="green"/>
        </w:rPr>
        <w:t>为</w:t>
      </w:r>
      <w:r w:rsidRPr="001B33D9">
        <w:rPr>
          <w:rFonts w:ascii="宋体" w:hAnsi="宋体" w:hint="eastAsia"/>
          <w:sz w:val="18"/>
          <w:szCs w:val="18"/>
          <w:highlight w:val="green"/>
        </w:rPr>
        <w:t>小5#宋体</w:t>
      </w:r>
      <w:r>
        <w:rPr>
          <w:rFonts w:ascii="宋体" w:hAnsi="宋体" w:hint="eastAsia"/>
          <w:sz w:val="18"/>
          <w:szCs w:val="18"/>
          <w:highlight w:val="green"/>
        </w:rPr>
        <w:t>，</w:t>
      </w:r>
      <w:proofErr w:type="gramStart"/>
      <w:r w:rsidRPr="00897BF5">
        <w:rPr>
          <w:rFonts w:ascii="宋体" w:hAnsi="宋体" w:hint="eastAsia"/>
          <w:sz w:val="18"/>
          <w:szCs w:val="18"/>
          <w:highlight w:val="green"/>
        </w:rPr>
        <w:t>图序按</w:t>
      </w:r>
      <w:proofErr w:type="gramEnd"/>
      <w:r w:rsidRPr="00897BF5">
        <w:rPr>
          <w:rFonts w:ascii="宋体" w:hAnsi="宋体" w:hint="eastAsia"/>
          <w:sz w:val="18"/>
          <w:szCs w:val="18"/>
          <w:highlight w:val="green"/>
        </w:rPr>
        <w:t>本篇论文大排队：图</w:t>
      </w:r>
      <w:r>
        <w:rPr>
          <w:rFonts w:ascii="宋体" w:hAnsi="宋体"/>
          <w:sz w:val="18"/>
          <w:szCs w:val="18"/>
          <w:highlight w:val="green"/>
        </w:rPr>
        <w:t>1</w:t>
      </w:r>
      <w:r w:rsidRPr="00897BF5">
        <w:rPr>
          <w:rFonts w:ascii="宋体" w:hAnsi="宋体" w:hint="eastAsia"/>
          <w:sz w:val="18"/>
          <w:szCs w:val="18"/>
          <w:highlight w:val="green"/>
        </w:rPr>
        <w:t>，图</w:t>
      </w:r>
      <w:r w:rsidRPr="00897BF5">
        <w:rPr>
          <w:rFonts w:ascii="宋体" w:hAnsi="宋体"/>
          <w:sz w:val="18"/>
          <w:szCs w:val="18"/>
          <w:highlight w:val="green"/>
        </w:rPr>
        <w:t xml:space="preserve"> 2</w:t>
      </w:r>
      <w:r>
        <w:rPr>
          <w:rFonts w:ascii="宋体" w:hAnsi="宋体" w:hint="eastAsia"/>
          <w:sz w:val="18"/>
          <w:szCs w:val="18"/>
          <w:highlight w:val="green"/>
        </w:rPr>
        <w:t>等。曲线图要注明横纵坐标的量和单位</w:t>
      </w:r>
    </w:p>
    <w:p w:rsidR="008D3F1A" w:rsidRDefault="008D3F1A" w:rsidP="008D3F1A">
      <w:pPr>
        <w:rPr>
          <w:rFonts w:ascii="黑体" w:eastAsia="黑体"/>
          <w:sz w:val="18"/>
          <w:szCs w:val="18"/>
        </w:rPr>
      </w:pPr>
    </w:p>
    <w:p w:rsidR="008D3F1A" w:rsidRDefault="008D3F1A" w:rsidP="008D3F1A">
      <w:pPr>
        <w:rPr>
          <w:rFonts w:ascii="黑体" w:eastAsia="黑体"/>
          <w:sz w:val="18"/>
          <w:szCs w:val="18"/>
        </w:rPr>
      </w:pPr>
    </w:p>
    <w:p w:rsidR="008D3F1A" w:rsidRDefault="008D3F1A" w:rsidP="008D3F1A">
      <w:pPr>
        <w:jc w:val="center"/>
        <w:rPr>
          <w:rFonts w:ascii="黑体" w:eastAsia="黑体"/>
          <w:sz w:val="18"/>
          <w:szCs w:val="18"/>
        </w:rPr>
      </w:pPr>
      <w:r w:rsidRPr="00701ACE">
        <w:rPr>
          <w:rFonts w:ascii="黑体" w:eastAsia="黑体" w:hAnsi="黑体" w:hint="eastAsia"/>
          <w:sz w:val="28"/>
          <w:szCs w:val="28"/>
        </w:rPr>
        <w:t>参考文献</w:t>
      </w:r>
      <w:r w:rsidRPr="00F1191D">
        <w:rPr>
          <w:rFonts w:ascii="黑体" w:eastAsia="黑体" w:hint="eastAsia"/>
          <w:sz w:val="18"/>
          <w:szCs w:val="18"/>
        </w:rPr>
        <w:t>：</w:t>
      </w:r>
      <w:r>
        <w:rPr>
          <w:rFonts w:ascii="宋体" w:hAnsi="宋体" w:hint="eastAsia"/>
          <w:sz w:val="18"/>
          <w:szCs w:val="18"/>
          <w:highlight w:val="green"/>
        </w:rPr>
        <w:t>“参考文献”为4</w:t>
      </w:r>
      <w:r w:rsidRPr="006C3E8D">
        <w:rPr>
          <w:rFonts w:ascii="宋体" w:hAnsi="宋体" w:hint="eastAsia"/>
          <w:sz w:val="18"/>
          <w:szCs w:val="18"/>
          <w:highlight w:val="green"/>
        </w:rPr>
        <w:t>#</w:t>
      </w:r>
      <w:r>
        <w:rPr>
          <w:rFonts w:ascii="宋体" w:hAnsi="宋体" w:hint="eastAsia"/>
          <w:sz w:val="18"/>
          <w:szCs w:val="18"/>
          <w:highlight w:val="green"/>
        </w:rPr>
        <w:t>黑体，内容为</w:t>
      </w:r>
      <w:r w:rsidRPr="006C3E8D">
        <w:rPr>
          <w:rFonts w:ascii="宋体" w:hAnsi="宋体" w:hint="eastAsia"/>
          <w:sz w:val="18"/>
          <w:szCs w:val="18"/>
          <w:highlight w:val="green"/>
        </w:rPr>
        <w:t>5#宋体</w:t>
      </w:r>
    </w:p>
    <w:p w:rsidR="008D3F1A" w:rsidRPr="004D1862" w:rsidRDefault="008D3F1A" w:rsidP="008D3F1A">
      <w:pPr>
        <w:rPr>
          <w:rFonts w:ascii="宋体" w:hAnsi="宋体"/>
          <w:color w:val="FF0000"/>
          <w:sz w:val="18"/>
          <w:szCs w:val="18"/>
          <w:lang w:val="fr-FR"/>
        </w:rPr>
      </w:pPr>
      <w:r w:rsidRPr="004D1862">
        <w:rPr>
          <w:rFonts w:ascii="宋体" w:hAnsi="宋体" w:hint="eastAsia"/>
          <w:color w:val="FF0000"/>
          <w:sz w:val="18"/>
          <w:szCs w:val="18"/>
          <w:highlight w:val="green"/>
        </w:rPr>
        <w:t>（参考文献必须在正文中按顺序一一标注出来，请务必标注到页码）</w:t>
      </w:r>
      <w:r w:rsidRPr="004D1862">
        <w:rPr>
          <w:rFonts w:ascii="宋体" w:hAnsi="宋体" w:hint="eastAsia"/>
          <w:color w:val="FF0000"/>
          <w:sz w:val="18"/>
          <w:szCs w:val="18"/>
        </w:rPr>
        <w:t xml:space="preserve"> </w:t>
      </w:r>
    </w:p>
    <w:p w:rsidR="008D3F1A" w:rsidRPr="004D1862" w:rsidRDefault="008D3F1A" w:rsidP="008D3F1A">
      <w:pPr>
        <w:rPr>
          <w:rFonts w:ascii="宋体" w:hAnsi="宋体"/>
          <w:szCs w:val="21"/>
        </w:rPr>
      </w:pPr>
      <w:r w:rsidRPr="004D1862">
        <w:rPr>
          <w:rFonts w:ascii="宋体" w:hAnsi="宋体"/>
          <w:szCs w:val="21"/>
        </w:rPr>
        <w:t>[</w:t>
      </w:r>
      <w:r w:rsidRPr="004D1862">
        <w:rPr>
          <w:rFonts w:ascii="宋体" w:hAnsi="宋体" w:hint="eastAsia"/>
          <w:szCs w:val="21"/>
        </w:rPr>
        <w:t>1</w:t>
      </w:r>
      <w:r w:rsidRPr="004D1862">
        <w:rPr>
          <w:rFonts w:ascii="宋体" w:hAnsi="宋体"/>
          <w:szCs w:val="21"/>
        </w:rPr>
        <w:t>]</w:t>
      </w:r>
      <w:r w:rsidRPr="004D1862">
        <w:rPr>
          <w:rFonts w:ascii="宋体" w:hAnsi="宋体" w:hint="eastAsia"/>
          <w:szCs w:val="21"/>
        </w:rPr>
        <w:t xml:space="preserve"> 苏东水.</w:t>
      </w:r>
      <w:r w:rsidRPr="004D1862">
        <w:rPr>
          <w:rFonts w:ascii="宋体" w:hAnsi="宋体"/>
          <w:szCs w:val="21"/>
        </w:rPr>
        <w:t xml:space="preserve"> </w:t>
      </w:r>
      <w:r w:rsidRPr="004D1862">
        <w:rPr>
          <w:rFonts w:ascii="宋体" w:hAnsi="宋体" w:hint="eastAsia"/>
          <w:szCs w:val="21"/>
        </w:rPr>
        <w:t>东方管理学[M]. 上海：复旦大学出版社,</w:t>
      </w:r>
      <w:r w:rsidRPr="004D1862">
        <w:rPr>
          <w:rFonts w:ascii="宋体" w:hAnsi="宋体"/>
          <w:szCs w:val="21"/>
        </w:rPr>
        <w:t xml:space="preserve"> 2005:</w:t>
      </w:r>
      <w:r w:rsidRPr="004D1862">
        <w:rPr>
          <w:rFonts w:ascii="宋体" w:hAnsi="宋体" w:hint="eastAsia"/>
          <w:szCs w:val="21"/>
        </w:rPr>
        <w:t xml:space="preserve"> </w:t>
      </w:r>
      <w:r w:rsidRPr="004D1862">
        <w:rPr>
          <w:rFonts w:ascii="宋体" w:hAnsi="宋体"/>
          <w:szCs w:val="21"/>
        </w:rPr>
        <w:t>1</w:t>
      </w:r>
      <w:r w:rsidRPr="004D1862">
        <w:rPr>
          <w:rFonts w:ascii="宋体" w:hAnsi="宋体" w:hint="eastAsia"/>
          <w:szCs w:val="21"/>
        </w:rPr>
        <w:t>1.</w:t>
      </w:r>
      <w:r w:rsidRPr="004D1862">
        <w:rPr>
          <w:rFonts w:ascii="宋体" w:hAnsi="宋体" w:hint="eastAsia"/>
          <w:szCs w:val="21"/>
          <w:highlight w:val="green"/>
        </w:rPr>
        <w:t>（专著）</w:t>
      </w:r>
    </w:p>
    <w:p w:rsidR="008D3F1A" w:rsidRPr="004D1862" w:rsidRDefault="008D3F1A" w:rsidP="008D3F1A">
      <w:pPr>
        <w:rPr>
          <w:rFonts w:ascii="宋体" w:hAnsi="宋体"/>
          <w:szCs w:val="21"/>
        </w:rPr>
      </w:pPr>
      <w:r w:rsidRPr="004D1862">
        <w:rPr>
          <w:rFonts w:ascii="宋体" w:hAnsi="宋体"/>
          <w:szCs w:val="21"/>
        </w:rPr>
        <w:t>[</w:t>
      </w:r>
      <w:r w:rsidRPr="004D1862">
        <w:rPr>
          <w:rFonts w:ascii="宋体" w:hAnsi="宋体" w:hint="eastAsia"/>
          <w:szCs w:val="21"/>
        </w:rPr>
        <w:t>2</w:t>
      </w:r>
      <w:r w:rsidRPr="004D1862">
        <w:rPr>
          <w:rFonts w:ascii="宋体" w:hAnsi="宋体"/>
          <w:szCs w:val="21"/>
        </w:rPr>
        <w:t>]</w:t>
      </w:r>
      <w:r w:rsidRPr="004D1862">
        <w:rPr>
          <w:rFonts w:ascii="宋体" w:hAnsi="宋体" w:hint="eastAsia"/>
          <w:szCs w:val="21"/>
        </w:rPr>
        <w:t xml:space="preserve"> 彭贺, </w:t>
      </w:r>
      <w:proofErr w:type="gramStart"/>
      <w:r w:rsidRPr="004D1862">
        <w:rPr>
          <w:rFonts w:ascii="宋体" w:hAnsi="宋体" w:hint="eastAsia"/>
          <w:szCs w:val="21"/>
        </w:rPr>
        <w:t>苏宗伟</w:t>
      </w:r>
      <w:proofErr w:type="gramEnd"/>
      <w:r w:rsidRPr="004D1862">
        <w:rPr>
          <w:rFonts w:ascii="宋体" w:hAnsi="宋体" w:hint="eastAsia"/>
          <w:szCs w:val="21"/>
        </w:rPr>
        <w:t>. 东方管理学的创建与发展: 渊源、精髓与框架[J]. 管理学报, 2006, 3(1)</w:t>
      </w:r>
      <w:r w:rsidRPr="004D1862">
        <w:rPr>
          <w:rFonts w:ascii="宋体" w:hAnsi="宋体"/>
          <w:szCs w:val="21"/>
        </w:rPr>
        <w:t>: 12-18</w:t>
      </w:r>
      <w:r w:rsidRPr="004D1862">
        <w:rPr>
          <w:rFonts w:ascii="宋体" w:hAnsi="宋体" w:hint="eastAsia"/>
          <w:szCs w:val="21"/>
        </w:rPr>
        <w:t>.</w:t>
      </w:r>
      <w:r w:rsidRPr="004D1862">
        <w:rPr>
          <w:rFonts w:ascii="宋体" w:hAnsi="宋体" w:hint="eastAsia"/>
          <w:szCs w:val="21"/>
          <w:highlight w:val="green"/>
        </w:rPr>
        <w:t>（期刊）</w:t>
      </w:r>
    </w:p>
    <w:p w:rsidR="008D3F1A" w:rsidRPr="004D1862" w:rsidRDefault="008D3F1A" w:rsidP="008D3F1A">
      <w:pPr>
        <w:rPr>
          <w:rFonts w:ascii="宋体" w:hAnsi="宋体"/>
          <w:szCs w:val="21"/>
        </w:rPr>
      </w:pPr>
      <w:r w:rsidRPr="004D1862">
        <w:rPr>
          <w:rFonts w:ascii="宋体" w:hAnsi="宋体" w:hint="eastAsia"/>
          <w:szCs w:val="21"/>
        </w:rPr>
        <w:t>[3] 钟</w:t>
      </w:r>
      <w:proofErr w:type="gramStart"/>
      <w:r w:rsidRPr="004D1862">
        <w:rPr>
          <w:rFonts w:ascii="宋体" w:hAnsi="宋体" w:hint="eastAsia"/>
          <w:szCs w:val="21"/>
        </w:rPr>
        <w:t>坚</w:t>
      </w:r>
      <w:proofErr w:type="gramEnd"/>
      <w:r w:rsidRPr="004D1862">
        <w:rPr>
          <w:rFonts w:ascii="宋体" w:hAnsi="宋体" w:hint="eastAsia"/>
          <w:szCs w:val="21"/>
        </w:rPr>
        <w:t>.中国经济特区发展的历史考察与现实思考[J].华中师范大学学报：</w:t>
      </w:r>
      <w:proofErr w:type="gramStart"/>
      <w:r w:rsidRPr="004D1862">
        <w:rPr>
          <w:rFonts w:ascii="宋体" w:hAnsi="宋体" w:hint="eastAsia"/>
          <w:szCs w:val="21"/>
        </w:rPr>
        <w:t>哲社版</w:t>
      </w:r>
      <w:proofErr w:type="gramEnd"/>
      <w:r w:rsidRPr="004D1862">
        <w:rPr>
          <w:rFonts w:ascii="宋体" w:hAnsi="宋体" w:hint="eastAsia"/>
          <w:szCs w:val="21"/>
        </w:rPr>
        <w:t>, 1993 (5)：46-52.</w:t>
      </w:r>
      <w:r w:rsidRPr="004D1862">
        <w:rPr>
          <w:rFonts w:ascii="宋体" w:hAnsi="宋体" w:hint="eastAsia"/>
          <w:szCs w:val="21"/>
          <w:highlight w:val="green"/>
        </w:rPr>
        <w:t>（学报）</w:t>
      </w:r>
    </w:p>
    <w:p w:rsidR="008D3F1A" w:rsidRPr="004D1862" w:rsidRDefault="008D3F1A" w:rsidP="008D3F1A">
      <w:pPr>
        <w:pStyle w:val="a5"/>
        <w:jc w:val="both"/>
        <w:rPr>
          <w:rFonts w:ascii="宋体" w:hAnsi="宋体"/>
          <w:color w:val="000000"/>
          <w:szCs w:val="21"/>
        </w:rPr>
      </w:pPr>
      <w:r w:rsidRPr="004D1862">
        <w:rPr>
          <w:rFonts w:ascii="宋体" w:hAnsi="宋体" w:hint="eastAsia"/>
          <w:szCs w:val="21"/>
        </w:rPr>
        <w:t>[4]</w:t>
      </w:r>
      <w:r w:rsidRPr="004D1862">
        <w:rPr>
          <w:rFonts w:ascii="宋体" w:hAnsi="宋体" w:hint="eastAsia"/>
          <w:color w:val="000000"/>
          <w:szCs w:val="21"/>
        </w:rPr>
        <w:t xml:space="preserve"> 侯露</w:t>
      </w:r>
      <w:proofErr w:type="gramStart"/>
      <w:r w:rsidRPr="004D1862">
        <w:rPr>
          <w:rFonts w:ascii="宋体" w:hAnsi="宋体" w:hint="eastAsia"/>
          <w:color w:val="000000"/>
          <w:szCs w:val="21"/>
        </w:rPr>
        <w:t>露</w:t>
      </w:r>
      <w:proofErr w:type="gramEnd"/>
      <w:r w:rsidRPr="004D1862">
        <w:rPr>
          <w:rFonts w:ascii="宋体" w:hAnsi="宋体" w:hint="eastAsia"/>
          <w:color w:val="000000"/>
          <w:szCs w:val="21"/>
        </w:rPr>
        <w:t>．重庆打黑查扣涉案资产</w:t>
      </w:r>
      <w:r w:rsidRPr="004D1862">
        <w:rPr>
          <w:rFonts w:ascii="宋体" w:hAnsi="宋体"/>
          <w:color w:val="000000"/>
          <w:szCs w:val="21"/>
        </w:rPr>
        <w:t>17</w:t>
      </w:r>
      <w:r w:rsidRPr="004D1862">
        <w:rPr>
          <w:rFonts w:ascii="宋体" w:hAnsi="宋体" w:hint="eastAsia"/>
          <w:color w:val="000000"/>
          <w:szCs w:val="21"/>
        </w:rPr>
        <w:t>亿，群众举报线索</w:t>
      </w:r>
      <w:r w:rsidRPr="004D1862">
        <w:rPr>
          <w:rFonts w:ascii="宋体" w:hAnsi="宋体"/>
          <w:color w:val="000000"/>
          <w:szCs w:val="21"/>
        </w:rPr>
        <w:t>25187</w:t>
      </w:r>
      <w:r w:rsidRPr="004D1862">
        <w:rPr>
          <w:rFonts w:ascii="宋体" w:hAnsi="宋体" w:hint="eastAsia"/>
          <w:color w:val="000000"/>
          <w:szCs w:val="21"/>
        </w:rPr>
        <w:t>条</w:t>
      </w:r>
      <w:r w:rsidRPr="004D1862">
        <w:rPr>
          <w:rFonts w:ascii="宋体" w:hAnsi="宋体" w:hint="eastAsia"/>
          <w:bCs/>
          <w:color w:val="000000"/>
          <w:szCs w:val="21"/>
        </w:rPr>
        <w:t>[N]</w:t>
      </w:r>
      <w:r w:rsidRPr="004D1862">
        <w:rPr>
          <w:rFonts w:ascii="宋体" w:hAnsi="宋体" w:hint="eastAsia"/>
          <w:color w:val="000000"/>
          <w:szCs w:val="21"/>
        </w:rPr>
        <w:t>．人民日报，</w:t>
      </w:r>
      <w:smartTag w:uri="urn:schemas-microsoft-com:office:smarttags" w:element="chsdate">
        <w:smartTagPr>
          <w:attr w:name="Year" w:val="2009"/>
          <w:attr w:name="Month" w:val="10"/>
          <w:attr w:name="Day" w:val="30"/>
          <w:attr w:name="IsLunarDate" w:val="False"/>
          <w:attr w:name="IsROCDate" w:val="False"/>
        </w:smartTagPr>
        <w:r w:rsidRPr="004D1862">
          <w:rPr>
            <w:rFonts w:ascii="宋体" w:hAnsi="宋体"/>
            <w:color w:val="000000"/>
            <w:szCs w:val="21"/>
          </w:rPr>
          <w:t>2009</w:t>
        </w:r>
        <w:r w:rsidRPr="004D1862">
          <w:rPr>
            <w:rFonts w:ascii="宋体" w:hAnsi="宋体" w:hint="eastAsia"/>
            <w:color w:val="000000"/>
            <w:szCs w:val="21"/>
          </w:rPr>
          <w:t>-10-30</w:t>
        </w:r>
      </w:smartTag>
      <w:r w:rsidRPr="004D1862">
        <w:rPr>
          <w:rFonts w:ascii="宋体" w:hAnsi="宋体" w:hint="eastAsia"/>
          <w:color w:val="000000"/>
          <w:szCs w:val="21"/>
        </w:rPr>
        <w:t>（</w:t>
      </w:r>
      <w:r w:rsidRPr="004D1862">
        <w:rPr>
          <w:rFonts w:ascii="宋体" w:hAnsi="宋体"/>
          <w:color w:val="000000"/>
          <w:szCs w:val="21"/>
        </w:rPr>
        <w:t>11</w:t>
      </w:r>
      <w:r w:rsidRPr="004D1862">
        <w:rPr>
          <w:rFonts w:ascii="宋体" w:hAnsi="宋体" w:hint="eastAsia"/>
          <w:color w:val="000000"/>
          <w:szCs w:val="21"/>
        </w:rPr>
        <w:t>）．</w:t>
      </w:r>
      <w:r w:rsidRPr="004D1862">
        <w:rPr>
          <w:rFonts w:ascii="宋体" w:hAnsi="宋体" w:hint="eastAsia"/>
          <w:color w:val="000000"/>
          <w:szCs w:val="21"/>
          <w:highlight w:val="green"/>
        </w:rPr>
        <w:t>（报纸）</w:t>
      </w:r>
    </w:p>
    <w:p w:rsidR="008D3F1A" w:rsidRPr="004D1862" w:rsidRDefault="008D3F1A" w:rsidP="008D3F1A">
      <w:pPr>
        <w:pStyle w:val="a5"/>
        <w:jc w:val="both"/>
        <w:rPr>
          <w:rFonts w:ascii="宋体" w:hAnsi="宋体"/>
          <w:color w:val="000000"/>
          <w:szCs w:val="21"/>
        </w:rPr>
      </w:pPr>
      <w:r w:rsidRPr="004D1862">
        <w:rPr>
          <w:rFonts w:ascii="宋体" w:hAnsi="宋体" w:hint="eastAsia"/>
          <w:szCs w:val="21"/>
        </w:rPr>
        <w:t>[5]</w:t>
      </w:r>
      <w:r w:rsidRPr="004D1862">
        <w:rPr>
          <w:rFonts w:ascii="宋体" w:hAnsi="宋体" w:hint="eastAsia"/>
          <w:color w:val="000000"/>
          <w:szCs w:val="21"/>
        </w:rPr>
        <w:t xml:space="preserve"> 米海依尔·戴尔玛斯．刑事政策的主要体系</w:t>
      </w:r>
      <w:r w:rsidRPr="004D1862">
        <w:rPr>
          <w:rFonts w:ascii="宋体" w:hAnsi="宋体" w:hint="eastAsia"/>
          <w:bCs/>
          <w:color w:val="000000"/>
          <w:szCs w:val="21"/>
        </w:rPr>
        <w:t>[M]</w:t>
      </w:r>
      <w:r w:rsidRPr="004D1862">
        <w:rPr>
          <w:rFonts w:ascii="宋体" w:hAnsi="宋体" w:hint="eastAsia"/>
          <w:color w:val="000000"/>
          <w:szCs w:val="21"/>
        </w:rPr>
        <w:t>．卢建平，译．北京：法律出版社，</w:t>
      </w:r>
      <w:r w:rsidRPr="004D1862">
        <w:rPr>
          <w:rFonts w:ascii="宋体" w:hAnsi="宋体"/>
          <w:color w:val="000000"/>
          <w:szCs w:val="21"/>
        </w:rPr>
        <w:t>2000</w:t>
      </w:r>
      <w:r w:rsidRPr="004D1862">
        <w:rPr>
          <w:rFonts w:ascii="宋体" w:hAnsi="宋体" w:hint="eastAsia"/>
          <w:color w:val="000000"/>
          <w:szCs w:val="21"/>
        </w:rPr>
        <w:t>：12-13.</w:t>
      </w:r>
      <w:r w:rsidRPr="004D1862">
        <w:rPr>
          <w:rFonts w:ascii="宋体" w:hAnsi="宋体" w:hint="eastAsia"/>
          <w:color w:val="000000"/>
          <w:szCs w:val="21"/>
          <w:highlight w:val="green"/>
        </w:rPr>
        <w:t>（译著）</w:t>
      </w:r>
    </w:p>
    <w:p w:rsidR="008D3F1A" w:rsidRPr="004D1862" w:rsidRDefault="008D3F1A" w:rsidP="008D3F1A">
      <w:pPr>
        <w:pStyle w:val="a5"/>
        <w:jc w:val="both"/>
        <w:rPr>
          <w:rFonts w:ascii="宋体" w:hAnsi="宋体"/>
          <w:color w:val="000000"/>
          <w:szCs w:val="21"/>
        </w:rPr>
      </w:pPr>
      <w:r w:rsidRPr="004D1862">
        <w:rPr>
          <w:rFonts w:ascii="宋体" w:hAnsi="宋体" w:hint="eastAsia"/>
          <w:szCs w:val="21"/>
        </w:rPr>
        <w:t>[6]</w:t>
      </w:r>
      <w:r w:rsidRPr="004D1862">
        <w:rPr>
          <w:rFonts w:ascii="宋体" w:hAnsi="宋体" w:hint="eastAsia"/>
          <w:color w:val="000000"/>
          <w:szCs w:val="21"/>
        </w:rPr>
        <w:t xml:space="preserve"> </w:t>
      </w:r>
      <w:proofErr w:type="gramStart"/>
      <w:r w:rsidRPr="004D1862">
        <w:rPr>
          <w:rFonts w:ascii="宋体" w:hAnsi="宋体" w:hint="eastAsia"/>
          <w:color w:val="000000"/>
          <w:szCs w:val="21"/>
        </w:rPr>
        <w:t>梁根林</w:t>
      </w:r>
      <w:proofErr w:type="gramEnd"/>
      <w:r w:rsidRPr="004D1862">
        <w:rPr>
          <w:rFonts w:ascii="宋体" w:hAnsi="宋体" w:hint="eastAsia"/>
          <w:color w:val="000000"/>
          <w:szCs w:val="21"/>
        </w:rPr>
        <w:t>．解读刑事政策</w:t>
      </w:r>
      <w:r w:rsidRPr="004D1862">
        <w:rPr>
          <w:rFonts w:ascii="宋体" w:hAnsi="宋体" w:hint="eastAsia"/>
          <w:bCs/>
          <w:color w:val="000000"/>
          <w:szCs w:val="21"/>
        </w:rPr>
        <w:t>[C]</w:t>
      </w:r>
      <w:r w:rsidRPr="004D1862">
        <w:rPr>
          <w:rFonts w:ascii="宋体" w:hAnsi="宋体" w:hint="eastAsia"/>
          <w:color w:val="000000"/>
          <w:szCs w:val="21"/>
        </w:rPr>
        <w:t>//陈兴良．刑事法评论．北京：北京大学出版社，2002</w:t>
      </w:r>
      <w:r w:rsidRPr="004D1862">
        <w:rPr>
          <w:rFonts w:ascii="宋体" w:hAnsi="宋体" w:hint="eastAsia"/>
          <w:bCs/>
          <w:color w:val="000000"/>
          <w:szCs w:val="21"/>
        </w:rPr>
        <w:t>:1-2</w:t>
      </w:r>
      <w:r w:rsidRPr="004D1862">
        <w:rPr>
          <w:rFonts w:ascii="宋体" w:hAnsi="宋体" w:hint="eastAsia"/>
          <w:color w:val="000000"/>
          <w:szCs w:val="21"/>
        </w:rPr>
        <w:t>．</w:t>
      </w:r>
      <w:r w:rsidRPr="004D1862">
        <w:rPr>
          <w:rFonts w:ascii="宋体" w:hAnsi="宋体" w:hint="eastAsia"/>
          <w:color w:val="000000"/>
          <w:szCs w:val="21"/>
          <w:highlight w:val="green"/>
        </w:rPr>
        <w:t>（论文集）</w:t>
      </w:r>
    </w:p>
    <w:p w:rsidR="008D3F1A" w:rsidRPr="004D1862" w:rsidRDefault="008D3F1A" w:rsidP="008D3F1A">
      <w:pPr>
        <w:pStyle w:val="a5"/>
        <w:jc w:val="both"/>
        <w:rPr>
          <w:rFonts w:ascii="宋体" w:hAnsi="宋体"/>
          <w:color w:val="000000"/>
          <w:szCs w:val="21"/>
        </w:rPr>
      </w:pPr>
      <w:r w:rsidRPr="004D1862">
        <w:rPr>
          <w:rFonts w:ascii="宋体" w:hAnsi="宋体" w:hint="eastAsia"/>
          <w:szCs w:val="21"/>
        </w:rPr>
        <w:t>[7]</w:t>
      </w:r>
      <w:r w:rsidRPr="004D1862">
        <w:rPr>
          <w:rFonts w:ascii="宋体" w:hAnsi="宋体" w:hint="eastAsia"/>
          <w:color w:val="000000"/>
          <w:szCs w:val="21"/>
        </w:rPr>
        <w:t xml:space="preserve"> 李亚杰，崔清新．新中国</w:t>
      </w:r>
      <w:proofErr w:type="gramStart"/>
      <w:r w:rsidRPr="004D1862">
        <w:rPr>
          <w:rFonts w:ascii="宋体" w:hAnsi="宋体" w:hint="eastAsia"/>
          <w:color w:val="000000"/>
          <w:szCs w:val="21"/>
        </w:rPr>
        <w:t>不断魔利反腐</w:t>
      </w:r>
      <w:proofErr w:type="gramEnd"/>
      <w:r w:rsidRPr="004D1862">
        <w:rPr>
          <w:rFonts w:ascii="宋体" w:hAnsi="宋体" w:hint="eastAsia"/>
          <w:color w:val="000000"/>
          <w:szCs w:val="21"/>
        </w:rPr>
        <w:t>利剑[EB/OL]．（</w:t>
      </w:r>
      <w:smartTag w:uri="urn:schemas-microsoft-com:office:smarttags" w:element="chsdate">
        <w:smartTagPr>
          <w:attr w:name="Year" w:val="2009"/>
          <w:attr w:name="Month" w:val="9"/>
          <w:attr w:name="Day" w:val="4"/>
          <w:attr w:name="IsLunarDate" w:val="False"/>
          <w:attr w:name="IsROCDate" w:val="False"/>
        </w:smartTagPr>
        <w:r w:rsidRPr="004D1862">
          <w:rPr>
            <w:rFonts w:ascii="宋体" w:hAnsi="宋体" w:hint="eastAsia"/>
            <w:color w:val="000000"/>
            <w:szCs w:val="21"/>
          </w:rPr>
          <w:t>2009-09-04</w:t>
        </w:r>
      </w:smartTag>
      <w:r w:rsidRPr="004D1862">
        <w:rPr>
          <w:rFonts w:ascii="宋体" w:hAnsi="宋体" w:hint="eastAsia"/>
          <w:color w:val="000000"/>
          <w:szCs w:val="21"/>
        </w:rPr>
        <w:t>）[</w:t>
      </w:r>
      <w:smartTag w:uri="urn:schemas-microsoft-com:office:smarttags" w:element="chsdate">
        <w:smartTagPr>
          <w:attr w:name="Year" w:val="2010"/>
          <w:attr w:name="Month" w:val="3"/>
          <w:attr w:name="Day" w:val="16"/>
          <w:attr w:name="IsLunarDate" w:val="False"/>
          <w:attr w:name="IsROCDate" w:val="False"/>
        </w:smartTagPr>
        <w:r w:rsidRPr="004D1862">
          <w:rPr>
            <w:rFonts w:ascii="宋体" w:hAnsi="宋体" w:hint="eastAsia"/>
            <w:color w:val="000000"/>
            <w:szCs w:val="21"/>
          </w:rPr>
          <w:t>2010-03-16</w:t>
        </w:r>
      </w:smartTag>
      <w:r w:rsidRPr="004D1862">
        <w:rPr>
          <w:rFonts w:ascii="宋体" w:hAnsi="宋体" w:hint="eastAsia"/>
          <w:color w:val="000000"/>
          <w:szCs w:val="21"/>
        </w:rPr>
        <w:t>].</w:t>
      </w:r>
      <w:r w:rsidRPr="004D1862">
        <w:rPr>
          <w:rFonts w:ascii="宋体" w:hAnsi="宋体"/>
          <w:szCs w:val="21"/>
        </w:rPr>
        <w:t xml:space="preserve"> </w:t>
      </w:r>
      <w:r w:rsidRPr="004D1862">
        <w:rPr>
          <w:rFonts w:ascii="宋体" w:hAnsi="宋体"/>
          <w:color w:val="000000"/>
          <w:szCs w:val="21"/>
        </w:rPr>
        <w:t>http://news.xinhuanet.com/politics/2009-09/04/content_11996001.htm</w:t>
      </w:r>
      <w:r w:rsidRPr="004D1862">
        <w:rPr>
          <w:rFonts w:ascii="宋体" w:hAnsi="宋体" w:hint="eastAsia"/>
          <w:color w:val="000000"/>
          <w:szCs w:val="21"/>
        </w:rPr>
        <w:t>.</w:t>
      </w:r>
      <w:r w:rsidRPr="004D1862">
        <w:rPr>
          <w:rFonts w:ascii="宋体" w:hAnsi="宋体" w:hint="eastAsia"/>
          <w:color w:val="000000"/>
          <w:szCs w:val="21"/>
          <w:highlight w:val="green"/>
        </w:rPr>
        <w:t>（电子文献）</w:t>
      </w:r>
    </w:p>
    <w:p w:rsidR="008D3F1A" w:rsidRPr="004D1862" w:rsidRDefault="008D3F1A" w:rsidP="008D3F1A">
      <w:pPr>
        <w:rPr>
          <w:rFonts w:ascii="宋体" w:hAnsi="宋体"/>
          <w:color w:val="000000"/>
          <w:kern w:val="0"/>
          <w:szCs w:val="21"/>
        </w:rPr>
      </w:pPr>
      <w:r w:rsidRPr="004D1862">
        <w:rPr>
          <w:rFonts w:ascii="宋体" w:hAnsi="宋体" w:hint="eastAsia"/>
          <w:szCs w:val="21"/>
        </w:rPr>
        <w:t>[8]</w:t>
      </w:r>
      <w:r w:rsidRPr="004D1862">
        <w:rPr>
          <w:rFonts w:ascii="宋体" w:hAnsi="宋体" w:hint="eastAsia"/>
          <w:color w:val="000000"/>
          <w:kern w:val="0"/>
          <w:szCs w:val="21"/>
        </w:rPr>
        <w:t xml:space="preserve"> 张春娜. 基于</w:t>
      </w:r>
      <w:r w:rsidRPr="004D1862">
        <w:rPr>
          <w:rFonts w:ascii="宋体" w:hAnsi="宋体"/>
          <w:color w:val="000000"/>
          <w:kern w:val="0"/>
          <w:szCs w:val="21"/>
        </w:rPr>
        <w:t>Petri</w:t>
      </w:r>
      <w:r w:rsidRPr="004D1862">
        <w:rPr>
          <w:rFonts w:ascii="宋体" w:hAnsi="宋体" w:hint="eastAsia"/>
          <w:color w:val="000000"/>
          <w:kern w:val="0"/>
          <w:szCs w:val="21"/>
        </w:rPr>
        <w:t>网的物流仓储系统建模与仿真</w:t>
      </w:r>
      <w:r w:rsidRPr="004D1862">
        <w:rPr>
          <w:rFonts w:ascii="宋体" w:hAnsi="宋体" w:hint="eastAsia"/>
          <w:color w:val="000000"/>
          <w:szCs w:val="21"/>
        </w:rPr>
        <w:t>[D]</w:t>
      </w:r>
      <w:r w:rsidRPr="004D1862">
        <w:rPr>
          <w:rFonts w:ascii="宋体" w:hAnsi="宋体" w:hint="eastAsia"/>
          <w:color w:val="000000"/>
          <w:kern w:val="0"/>
          <w:szCs w:val="21"/>
        </w:rPr>
        <w:t xml:space="preserve">.南京：南京林业大学, </w:t>
      </w:r>
      <w:r w:rsidRPr="004D1862">
        <w:rPr>
          <w:rFonts w:ascii="宋体" w:hAnsi="宋体"/>
          <w:color w:val="000000"/>
          <w:kern w:val="0"/>
          <w:szCs w:val="21"/>
        </w:rPr>
        <w:t>2007</w:t>
      </w:r>
      <w:r w:rsidRPr="004D1862">
        <w:rPr>
          <w:rFonts w:ascii="宋体" w:hAnsi="宋体" w:hint="eastAsia"/>
          <w:color w:val="000000"/>
          <w:kern w:val="0"/>
          <w:szCs w:val="21"/>
        </w:rPr>
        <w:t>.</w:t>
      </w:r>
      <w:r w:rsidRPr="004D1862">
        <w:rPr>
          <w:rFonts w:ascii="宋体" w:hAnsi="宋体" w:hint="eastAsia"/>
          <w:color w:val="000000"/>
          <w:kern w:val="0"/>
          <w:szCs w:val="21"/>
          <w:highlight w:val="green"/>
        </w:rPr>
        <w:t>（学位论文）</w:t>
      </w:r>
    </w:p>
    <w:p w:rsidR="008D3F1A" w:rsidRPr="004D1862" w:rsidRDefault="008D3F1A" w:rsidP="008D3F1A">
      <w:pPr>
        <w:pStyle w:val="2"/>
        <w:tabs>
          <w:tab w:val="num" w:pos="360"/>
        </w:tabs>
        <w:ind w:left="420" w:hangingChars="200"/>
        <w:rPr>
          <w:szCs w:val="21"/>
        </w:rPr>
      </w:pPr>
      <w:r w:rsidRPr="004D1862">
        <w:rPr>
          <w:rFonts w:ascii="宋体" w:hAnsi="宋体" w:hint="eastAsia"/>
          <w:szCs w:val="21"/>
        </w:rPr>
        <w:t>[9</w:t>
      </w:r>
      <w:r w:rsidRPr="004D1862">
        <w:rPr>
          <w:szCs w:val="21"/>
        </w:rPr>
        <w:t xml:space="preserve">] </w:t>
      </w:r>
      <w:hyperlink r:id="rId10" w:history="1">
        <w:r w:rsidRPr="004D1862">
          <w:rPr>
            <w:szCs w:val="21"/>
          </w:rPr>
          <w:t>Hiyassat M A S.</w:t>
        </w:r>
      </w:hyperlink>
      <w:r w:rsidRPr="004D1862">
        <w:rPr>
          <w:szCs w:val="21"/>
        </w:rPr>
        <w:t xml:space="preserve"> Construction bid price evaluation </w:t>
      </w:r>
      <w:r w:rsidRPr="004D1862">
        <w:rPr>
          <w:rFonts w:hAnsi="宋体"/>
          <w:szCs w:val="21"/>
          <w:highlight w:val="green"/>
        </w:rPr>
        <w:t>（注意除首字母及专用名词大写外，其余小写</w:t>
      </w:r>
      <w:proofErr w:type="gramStart"/>
      <w:r w:rsidRPr="004D1862">
        <w:rPr>
          <w:rFonts w:hAnsi="宋体"/>
          <w:szCs w:val="21"/>
          <w:highlight w:val="green"/>
        </w:rPr>
        <w:t>）</w:t>
      </w:r>
      <w:r w:rsidRPr="004D1862">
        <w:rPr>
          <w:szCs w:val="21"/>
        </w:rPr>
        <w:t>[</w:t>
      </w:r>
      <w:proofErr w:type="gramEnd"/>
      <w:r w:rsidRPr="004D1862">
        <w:rPr>
          <w:szCs w:val="21"/>
        </w:rPr>
        <w:t>J]. Canadian Journal of Civil Engineering, 2001, 28(2): 264-270.</w:t>
      </w:r>
      <w:r w:rsidRPr="004D1862">
        <w:rPr>
          <w:rFonts w:hAnsi="宋体"/>
          <w:szCs w:val="21"/>
          <w:highlight w:val="green"/>
        </w:rPr>
        <w:t>（英文期刊）</w:t>
      </w:r>
    </w:p>
    <w:p w:rsidR="008D3F1A" w:rsidRDefault="008D3F1A" w:rsidP="008D3F1A"/>
    <w:p w:rsidR="008D3F1A" w:rsidRPr="00573250" w:rsidRDefault="008D3F1A" w:rsidP="008D3F1A">
      <w:pPr>
        <w:jc w:val="center"/>
      </w:pPr>
      <w:r w:rsidRPr="00573250">
        <w:rPr>
          <w:rFonts w:eastAsia="黑体" w:hint="eastAsia"/>
          <w:b/>
          <w:sz w:val="28"/>
          <w:szCs w:val="28"/>
        </w:rPr>
        <w:t>作者简介</w:t>
      </w:r>
      <w:r>
        <w:t xml:space="preserve"> </w:t>
      </w:r>
      <w:r w:rsidRPr="008230A3">
        <w:rPr>
          <w:rFonts w:hint="eastAsia"/>
          <w:sz w:val="18"/>
          <w:szCs w:val="18"/>
          <w:highlight w:val="green"/>
        </w:rPr>
        <w:t>4#</w:t>
      </w:r>
      <w:r w:rsidRPr="008230A3">
        <w:rPr>
          <w:rFonts w:hint="eastAsia"/>
          <w:sz w:val="18"/>
          <w:szCs w:val="18"/>
          <w:highlight w:val="green"/>
        </w:rPr>
        <w:t>黑</w:t>
      </w:r>
    </w:p>
    <w:p w:rsidR="008D3F1A" w:rsidRPr="00573250" w:rsidRDefault="008D3F1A" w:rsidP="008D3F1A">
      <w:pPr>
        <w:ind w:firstLine="420"/>
      </w:pPr>
      <w:r w:rsidRPr="00573250">
        <w:rPr>
          <w:rFonts w:hint="eastAsia"/>
        </w:rPr>
        <w:t>作者简介内容包括姓名，工作单位，专业职称，研究兴趣，当前研究方向等，获奖之类的内容请勿写在内。</w:t>
      </w:r>
      <w:r>
        <w:rPr>
          <w:rFonts w:hint="eastAsia"/>
          <w:sz w:val="18"/>
          <w:szCs w:val="18"/>
          <w:highlight w:val="green"/>
        </w:rPr>
        <w:t>简介长度不超过五行，字体用</w:t>
      </w:r>
      <w:r>
        <w:rPr>
          <w:rFonts w:hint="eastAsia"/>
          <w:sz w:val="18"/>
          <w:szCs w:val="18"/>
          <w:highlight w:val="green"/>
        </w:rPr>
        <w:t>5#</w:t>
      </w:r>
      <w:r w:rsidRPr="008230A3">
        <w:rPr>
          <w:rFonts w:hint="eastAsia"/>
          <w:sz w:val="18"/>
          <w:szCs w:val="18"/>
          <w:highlight w:val="green"/>
        </w:rPr>
        <w:t>宋。</w:t>
      </w:r>
    </w:p>
    <w:p w:rsidR="008D3F1A" w:rsidRDefault="008D3F1A" w:rsidP="008D3F1A"/>
    <w:p w:rsidR="008D3F1A" w:rsidRDefault="008D3F1A" w:rsidP="008D3F1A"/>
    <w:p w:rsidR="008D3F1A" w:rsidRDefault="008D3F1A" w:rsidP="008D3F1A"/>
    <w:p w:rsidR="008D3F1A" w:rsidRDefault="008D3F1A" w:rsidP="008D3F1A">
      <w:pPr>
        <w:rPr>
          <w:rFonts w:hint="eastAsia"/>
        </w:rPr>
      </w:pPr>
      <w:bookmarkStart w:id="0" w:name="_GoBack"/>
      <w:bookmarkEnd w:id="0"/>
    </w:p>
    <w:p w:rsidR="008D3F1A" w:rsidRPr="002530A7" w:rsidRDefault="008D3F1A" w:rsidP="008D3F1A">
      <w:pPr>
        <w:jc w:val="center"/>
        <w:rPr>
          <w:sz w:val="18"/>
          <w:szCs w:val="18"/>
          <w:highlight w:val="green"/>
        </w:rPr>
      </w:pPr>
      <w:r w:rsidRPr="00573250">
        <w:rPr>
          <w:b/>
          <w:sz w:val="32"/>
          <w:szCs w:val="32"/>
        </w:rPr>
        <w:lastRenderedPageBreak/>
        <w:t>A Specification for Conference Theses</w:t>
      </w:r>
      <w:r>
        <w:rPr>
          <w:rFonts w:hint="eastAsia"/>
          <w:b/>
          <w:sz w:val="32"/>
          <w:szCs w:val="32"/>
        </w:rPr>
        <w:t xml:space="preserve">  </w:t>
      </w:r>
      <w:r w:rsidRPr="002530A7">
        <w:rPr>
          <w:rFonts w:hint="eastAsia"/>
          <w:sz w:val="18"/>
          <w:szCs w:val="18"/>
          <w:highlight w:val="green"/>
        </w:rPr>
        <w:t>（</w:t>
      </w:r>
      <w:r w:rsidRPr="002530A7">
        <w:rPr>
          <w:rFonts w:hint="eastAsia"/>
          <w:sz w:val="18"/>
          <w:szCs w:val="18"/>
          <w:highlight w:val="green"/>
        </w:rPr>
        <w:t>3#</w:t>
      </w:r>
      <w:r>
        <w:rPr>
          <w:rFonts w:hint="eastAsia"/>
          <w:sz w:val="18"/>
          <w:szCs w:val="18"/>
          <w:highlight w:val="green"/>
        </w:rPr>
        <w:t>）</w:t>
      </w:r>
    </w:p>
    <w:p w:rsidR="008D3F1A" w:rsidRPr="002530A7" w:rsidRDefault="008D3F1A" w:rsidP="008D3F1A">
      <w:pPr>
        <w:jc w:val="center"/>
        <w:rPr>
          <w:rFonts w:ascii="宋体" w:hAnsi="宋体"/>
          <w:color w:val="000000"/>
          <w:kern w:val="0"/>
          <w:szCs w:val="21"/>
          <w:highlight w:val="green"/>
        </w:rPr>
      </w:pPr>
      <w:r w:rsidRPr="00573250">
        <w:rPr>
          <w:sz w:val="24"/>
        </w:rPr>
        <w:t>Li Shi</w:t>
      </w:r>
      <w:r w:rsidRPr="00573250">
        <w:rPr>
          <w:sz w:val="24"/>
          <w:vertAlign w:val="superscript"/>
        </w:rPr>
        <w:t>1</w:t>
      </w:r>
      <w:r w:rsidRPr="00573250">
        <w:rPr>
          <w:sz w:val="24"/>
        </w:rPr>
        <w:t xml:space="preserve">    Wang Xiaoming</w:t>
      </w:r>
      <w:r w:rsidRPr="00573250">
        <w:rPr>
          <w:sz w:val="24"/>
          <w:vertAlign w:val="superscript"/>
        </w:rPr>
        <w:t>2</w:t>
      </w:r>
      <w:r>
        <w:rPr>
          <w:rFonts w:hint="eastAsia"/>
          <w:sz w:val="24"/>
          <w:vertAlign w:val="superscript"/>
        </w:rPr>
        <w:t xml:space="preserve">  </w:t>
      </w:r>
      <w:r w:rsidRPr="002530A7">
        <w:rPr>
          <w:rFonts w:ascii="宋体" w:hAnsi="宋体" w:hint="eastAsia"/>
          <w:color w:val="000000"/>
          <w:kern w:val="0"/>
          <w:szCs w:val="21"/>
          <w:highlight w:val="green"/>
        </w:rPr>
        <w:t>小4#</w:t>
      </w:r>
    </w:p>
    <w:p w:rsidR="008D3F1A" w:rsidRPr="00573250" w:rsidRDefault="008D3F1A" w:rsidP="008D3F1A">
      <w:pPr>
        <w:jc w:val="center"/>
      </w:pPr>
      <w:proofErr w:type="gramStart"/>
      <w:r w:rsidRPr="00573250">
        <w:t>1.Department</w:t>
      </w:r>
      <w:proofErr w:type="gramEnd"/>
      <w:r w:rsidRPr="00573250">
        <w:t xml:space="preserve"> of Computer Science and Technology, Tsinghua University, Beijing, 100084</w:t>
      </w:r>
    </w:p>
    <w:p w:rsidR="008D3F1A" w:rsidRPr="00573250" w:rsidRDefault="008D3F1A" w:rsidP="008D3F1A">
      <w:pPr>
        <w:jc w:val="center"/>
      </w:pPr>
      <w:r w:rsidRPr="00573250">
        <w:t xml:space="preserve">2. Department of Precision </w:t>
      </w:r>
      <w:proofErr w:type="spellStart"/>
      <w:r w:rsidRPr="00573250">
        <w:t>Instrument</w:t>
      </w:r>
      <w:proofErr w:type="gramStart"/>
      <w:r w:rsidRPr="00573250">
        <w:t>,Tsinghua</w:t>
      </w:r>
      <w:proofErr w:type="spellEnd"/>
      <w:proofErr w:type="gramEnd"/>
      <w:r w:rsidRPr="00573250">
        <w:t xml:space="preserve"> </w:t>
      </w:r>
      <w:smartTag w:uri="urn:schemas-microsoft-com:office:smarttags" w:element="PlaceType">
        <w:r w:rsidRPr="00573250">
          <w:t>University</w:t>
        </w:r>
      </w:smartTag>
      <w:r w:rsidRPr="00573250">
        <w:t xml:space="preserve">, </w:t>
      </w:r>
      <w:smartTag w:uri="urn:schemas-microsoft-com:office:smarttags" w:element="place">
        <w:smartTag w:uri="urn:schemas-microsoft-com:office:smarttags" w:element="City">
          <w:r w:rsidRPr="00573250">
            <w:t>Beijing</w:t>
          </w:r>
        </w:smartTag>
      </w:smartTag>
      <w:r w:rsidRPr="00573250">
        <w:t>, 100084</w:t>
      </w:r>
    </w:p>
    <w:p w:rsidR="008D3F1A" w:rsidRPr="00573250" w:rsidRDefault="008D3F1A" w:rsidP="008D3F1A"/>
    <w:p w:rsidR="008D3F1A" w:rsidRPr="00573250" w:rsidRDefault="008D3F1A" w:rsidP="008D3F1A">
      <w:r w:rsidRPr="00573250">
        <w:rPr>
          <w:b/>
        </w:rPr>
        <w:t>Abstract</w:t>
      </w:r>
      <w:r w:rsidRPr="00573250">
        <w:rPr>
          <w:rFonts w:hint="eastAsia"/>
          <w:b/>
        </w:rPr>
        <w:t>：</w:t>
      </w:r>
      <w:r w:rsidRPr="00573250">
        <w:t>The English part should be set in roman style, and the fonts of the title, author (including abstract and keywords</w:t>
      </w:r>
      <w:proofErr w:type="gramStart"/>
      <w:r w:rsidRPr="00573250">
        <w:t>)and</w:t>
      </w:r>
      <w:proofErr w:type="gramEnd"/>
      <w:r w:rsidRPr="00573250">
        <w:t xml:space="preserve"> affiliation information should be in 12-point,10-point and 9-point respectively. The abstract may be up to 500-words long. Leave one blank line before the main text. This specification is the sample for theses, including fonts, margins, page size and print area.</w:t>
      </w:r>
      <w:r w:rsidRPr="002530A7">
        <w:rPr>
          <w:rFonts w:hint="eastAsia"/>
          <w:sz w:val="18"/>
          <w:szCs w:val="18"/>
          <w:highlight w:val="green"/>
        </w:rPr>
        <w:t>（</w:t>
      </w:r>
      <w:r w:rsidRPr="002530A7">
        <w:rPr>
          <w:sz w:val="18"/>
          <w:szCs w:val="18"/>
          <w:highlight w:val="green"/>
        </w:rPr>
        <w:t xml:space="preserve"> </w:t>
      </w:r>
      <w:r w:rsidRPr="002530A7">
        <w:rPr>
          <w:rFonts w:hint="eastAsia"/>
          <w:sz w:val="18"/>
          <w:szCs w:val="18"/>
          <w:highlight w:val="green"/>
        </w:rPr>
        <w:t>5#</w:t>
      </w:r>
      <w:r w:rsidRPr="002530A7">
        <w:rPr>
          <w:rFonts w:hint="eastAsia"/>
          <w:sz w:val="18"/>
          <w:szCs w:val="18"/>
          <w:highlight w:val="green"/>
        </w:rPr>
        <w:t>）</w:t>
      </w:r>
    </w:p>
    <w:p w:rsidR="008D3F1A" w:rsidRPr="00573250" w:rsidRDefault="008D3F1A" w:rsidP="008D3F1A"/>
    <w:p w:rsidR="008D3F1A" w:rsidRPr="00573250" w:rsidRDefault="008D3F1A" w:rsidP="008D3F1A">
      <w:r w:rsidRPr="00573250">
        <w:rPr>
          <w:b/>
        </w:rPr>
        <w:t>Keywords</w:t>
      </w:r>
      <w:r w:rsidRPr="00573250">
        <w:rPr>
          <w:rFonts w:hint="eastAsia"/>
        </w:rPr>
        <w:t>：</w:t>
      </w:r>
      <w:r w:rsidRPr="00573250">
        <w:t>Ke</w:t>
      </w:r>
      <w:r>
        <w:t>ywords 1; Keywords 2; Keywords</w:t>
      </w:r>
      <w:r w:rsidRPr="002530A7">
        <w:rPr>
          <w:sz w:val="18"/>
          <w:szCs w:val="18"/>
          <w:highlight w:val="green"/>
        </w:rPr>
        <w:t xml:space="preserve"> </w:t>
      </w:r>
      <w:proofErr w:type="gramStart"/>
      <w:r w:rsidRPr="002530A7">
        <w:rPr>
          <w:rFonts w:hint="eastAsia"/>
          <w:sz w:val="18"/>
          <w:szCs w:val="18"/>
          <w:highlight w:val="green"/>
        </w:rPr>
        <w:t>(</w:t>
      </w:r>
      <w:r w:rsidRPr="002530A7">
        <w:rPr>
          <w:sz w:val="18"/>
          <w:szCs w:val="18"/>
          <w:highlight w:val="green"/>
        </w:rPr>
        <w:t xml:space="preserve"> 5</w:t>
      </w:r>
      <w:proofErr w:type="gramEnd"/>
      <w:r w:rsidRPr="002530A7">
        <w:rPr>
          <w:sz w:val="18"/>
          <w:szCs w:val="18"/>
          <w:highlight w:val="green"/>
        </w:rPr>
        <w:t>#</w:t>
      </w:r>
      <w:r w:rsidRPr="002530A7">
        <w:rPr>
          <w:rFonts w:hint="eastAsia"/>
          <w:sz w:val="18"/>
          <w:szCs w:val="18"/>
          <w:highlight w:val="green"/>
        </w:rPr>
        <w:t>)</w:t>
      </w:r>
    </w:p>
    <w:p w:rsidR="008D3F1A" w:rsidRDefault="008D3F1A" w:rsidP="008D3F1A">
      <w:pPr>
        <w:widowControl/>
        <w:jc w:val="left"/>
      </w:pPr>
    </w:p>
    <w:p w:rsidR="008D3F1A" w:rsidRPr="00207CB8" w:rsidRDefault="008D3F1A" w:rsidP="008D3F1A"/>
    <w:p w:rsidR="00067435" w:rsidRDefault="00067435"/>
    <w:sectPr w:rsidR="00067435" w:rsidSect="00FC349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E5" w:rsidRDefault="00994BE5" w:rsidP="008D3F1A">
      <w:r>
        <w:separator/>
      </w:r>
    </w:p>
  </w:endnote>
  <w:endnote w:type="continuationSeparator" w:id="0">
    <w:p w:rsidR="00994BE5" w:rsidRDefault="00994BE5" w:rsidP="008D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E5" w:rsidRDefault="00994BE5" w:rsidP="008D3F1A">
      <w:r>
        <w:separator/>
      </w:r>
    </w:p>
  </w:footnote>
  <w:footnote w:type="continuationSeparator" w:id="0">
    <w:p w:rsidR="00994BE5" w:rsidRDefault="00994BE5" w:rsidP="008D3F1A">
      <w:r>
        <w:continuationSeparator/>
      </w:r>
    </w:p>
  </w:footnote>
  <w:footnote w:id="1">
    <w:p w:rsidR="008D3F1A" w:rsidRDefault="008D3F1A" w:rsidP="008D3F1A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  <w:highlight w:val="red"/>
        </w:rPr>
        <w:t>随文注为说明性的文字，是对文章中出现的某一观点、说法、引用做进一步补充说明。</w:t>
      </w:r>
      <w:r w:rsidRPr="00BD764F">
        <w:rPr>
          <w:rFonts w:hint="eastAsia"/>
          <w:highlight w:val="red"/>
        </w:rPr>
        <w:t>每页重新编码。</w:t>
      </w:r>
      <w:r w:rsidRPr="00BD48C0">
        <w:rPr>
          <w:rFonts w:hint="eastAsia"/>
          <w:highlight w:val="red"/>
        </w:rPr>
        <w:t>其余的注释一律为尾注。</w:t>
      </w:r>
      <w:r w:rsidRPr="00FC722B">
        <w:rPr>
          <w:rFonts w:hint="eastAsia"/>
          <w:sz w:val="21"/>
          <w:szCs w:val="21"/>
          <w:highlight w:val="green"/>
        </w:rPr>
        <w:t>（小</w:t>
      </w:r>
      <w:r w:rsidRPr="00FC722B">
        <w:rPr>
          <w:rFonts w:hint="eastAsia"/>
          <w:sz w:val="21"/>
          <w:szCs w:val="21"/>
          <w:highlight w:val="green"/>
        </w:rPr>
        <w:t>5#</w:t>
      </w:r>
      <w:r w:rsidRPr="00FC722B">
        <w:rPr>
          <w:rFonts w:hint="eastAsia"/>
          <w:sz w:val="21"/>
          <w:szCs w:val="21"/>
          <w:highlight w:val="green"/>
        </w:rPr>
        <w:t>宋）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5AF6"/>
    <w:multiLevelType w:val="hybridMultilevel"/>
    <w:tmpl w:val="C6FEB956"/>
    <w:lvl w:ilvl="0" w:tplc="6582B372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1A"/>
    <w:rsid w:val="00067435"/>
    <w:rsid w:val="000F6395"/>
    <w:rsid w:val="008D3F1A"/>
    <w:rsid w:val="00994BE5"/>
    <w:rsid w:val="00B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1C35-952E-4E39-A095-3B1B79A1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8D3F1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8D3F1A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semiHidden/>
    <w:rsid w:val="008D3F1A"/>
    <w:rPr>
      <w:vertAlign w:val="superscript"/>
    </w:rPr>
  </w:style>
  <w:style w:type="paragraph" w:styleId="a5">
    <w:name w:val="endnote text"/>
    <w:basedOn w:val="a"/>
    <w:link w:val="Char0"/>
    <w:semiHidden/>
    <w:rsid w:val="008D3F1A"/>
    <w:pPr>
      <w:snapToGrid w:val="0"/>
      <w:jc w:val="left"/>
    </w:pPr>
    <w:rPr>
      <w:rFonts w:ascii="Times New Roman" w:eastAsia="宋体" w:hAnsi="Times New Roman" w:cs="Times New Roman"/>
      <w:szCs w:val="24"/>
      <w:lang w:val="fr-FR"/>
    </w:rPr>
  </w:style>
  <w:style w:type="character" w:customStyle="1" w:styleId="Char0">
    <w:name w:val="尾注文本 Char"/>
    <w:basedOn w:val="a0"/>
    <w:link w:val="a5"/>
    <w:semiHidden/>
    <w:rsid w:val="008D3F1A"/>
    <w:rPr>
      <w:rFonts w:ascii="Times New Roman" w:eastAsia="宋体" w:hAnsi="Times New Roman" w:cs="Times New Roman"/>
      <w:szCs w:val="24"/>
      <w:lang w:val="fr-FR"/>
    </w:rPr>
  </w:style>
  <w:style w:type="paragraph" w:styleId="a6">
    <w:name w:val="Plain Text"/>
    <w:basedOn w:val="a"/>
    <w:link w:val="Char1"/>
    <w:rsid w:val="008D3F1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character" w:customStyle="1" w:styleId="Char1">
    <w:name w:val="纯文本 Char"/>
    <w:basedOn w:val="a0"/>
    <w:link w:val="a6"/>
    <w:rsid w:val="008D3F1A"/>
    <w:rPr>
      <w:rFonts w:ascii="Times New Roman" w:eastAsia="宋体" w:hAnsi="Times New Roman" w:cs="Times New Roman"/>
      <w:sz w:val="24"/>
      <w:szCs w:val="21"/>
    </w:rPr>
  </w:style>
  <w:style w:type="paragraph" w:styleId="2">
    <w:name w:val="List 2"/>
    <w:basedOn w:val="a"/>
    <w:rsid w:val="008D3F1A"/>
    <w:pPr>
      <w:ind w:left="840" w:hanging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166.111.120.42/controller/servlet/Controller?CID=quickSearchCitationFormat&amp;searchWord1=%7bHiyassat%2C+M.A.S.%7d&amp;section1=AU&amp;database=3&amp;yearselect=yearrange&amp;sort=y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0</DocSecurity>
  <Lines>20</Lines>
  <Paragraphs>5</Paragraphs>
  <ScaleCrop>false</ScaleCrop>
  <Company>Microsoft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2015-07-07T04:57:00Z</dcterms:created>
  <dcterms:modified xsi:type="dcterms:W3CDTF">2015-07-07T04:57:00Z</dcterms:modified>
</cp:coreProperties>
</file>